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60"/>
        <w:spacing w:after="0" w:line="211" w:lineRule="auto"/>
        <w:rPr>
          <w:sz w:val="20"/>
          <w:szCs w:val="20"/>
          <w:color w:val="auto"/>
        </w:rPr>
      </w:pPr>
      <w:r>
        <w:rPr>
          <w:rFonts w:ascii="Arial" w:cs="Arial" w:eastAsia="Arial" w:hAnsi="Arial"/>
          <w:sz w:val="25"/>
          <w:szCs w:val="25"/>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1"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125730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480" w:hanging="459"/>
        <w:spacing w:after="0" w:line="221" w:lineRule="auto"/>
        <w:tabs>
          <w:tab w:leader="none" w:pos="480" w:val="left"/>
        </w:tabs>
        <w:numPr>
          <w:ilvl w:val="0"/>
          <w:numId w:val="1"/>
        </w:numPr>
        <w:rPr>
          <w:rFonts w:ascii="MS PGothic" w:cs="MS PGothic" w:eastAsia="MS PGothic" w:hAnsi="MS PGothic"/>
          <w:sz w:val="29"/>
          <w:szCs w:val="29"/>
          <w:color w:val="auto"/>
          <w:highlight w:val="black"/>
          <w:vertAlign w:val="superscript"/>
        </w:rPr>
      </w:pPr>
      <w:r>
        <w:rPr>
          <w:rFonts w:ascii="Arial" w:cs="Arial" w:eastAsia="Arial" w:hAnsi="Arial"/>
          <w:sz w:val="14"/>
          <w:szCs w:val="14"/>
          <w:b w:val="1"/>
          <w:bCs w:val="1"/>
          <w:color w:val="auto"/>
        </w:rPr>
        <w:t>ANNUAL REPORT PURSUANT TO SECTION 13 OR 15(d) OF THE SECURITIES EXCHANGE ACT OF 1934</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480" w:right="740" w:hanging="459"/>
        <w:spacing w:after="0"/>
        <w:tabs>
          <w:tab w:leader="none" w:pos="480" w:val="left"/>
        </w:tabs>
        <w:numPr>
          <w:ilvl w:val="0"/>
          <w:numId w:val="2"/>
        </w:numPr>
        <w:rPr>
          <w:rFonts w:ascii="MS PGothic" w:cs="MS PGothic" w:eastAsia="MS PGothic" w:hAnsi="MS PGothic"/>
          <w:sz w:val="29"/>
          <w:szCs w:val="29"/>
          <w:color w:val="auto"/>
          <w:highlight w:val="black"/>
          <w:vertAlign w:val="superscript"/>
        </w:rPr>
      </w:pPr>
      <w:r>
        <w:rPr>
          <w:rFonts w:ascii="Arial" w:cs="Arial" w:eastAsia="Arial" w:hAnsi="Arial"/>
          <w:sz w:val="14"/>
          <w:szCs w:val="14"/>
          <w:b w:val="1"/>
          <w:bCs w:val="1"/>
          <w:color w:val="auto"/>
        </w:rPr>
        <w:t>TRANSITION REPORT PURSUANT TO SECTION 13 OR 15(d) OF THE SECURITIES EXCHANGE ACT OF 1934 FOR THE TRANSITION PERIOD FROM TO</w:t>
      </w:r>
    </w:p>
    <w:p>
      <w:pPr>
        <w:spacing w:after="0" w:line="52"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001-39617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120015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Aligos Therapeutics, Inc.</w:t>
      </w: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0" w:lineRule="exact"/>
        <w:rPr>
          <w:sz w:val="24"/>
          <w:szCs w:val="24"/>
          <w:color w:val="auto"/>
        </w:rPr>
      </w:pPr>
    </w:p>
    <w:tbl>
      <w:tblPr>
        <w:tblLayout w:type="fixed"/>
        <w:tblInd w:w="1780" w:type="dxa"/>
        <w:tblCellMar>
          <w:top w:w="0" w:type="dxa"/>
          <w:left w:w="0" w:type="dxa"/>
          <w:bottom w:w="0" w:type="dxa"/>
          <w:right w:w="0" w:type="dxa"/>
        </w:tblCellMar>
      </w:tblPr>
      <w:tr>
        <w:trPr>
          <w:trHeight w:val="162"/>
        </w:trPr>
        <w:tc>
          <w:tcPr>
            <w:tcW w:w="4120" w:type="dxa"/>
            <w:vAlign w:val="bottom"/>
          </w:tcPr>
          <w:p>
            <w:pPr>
              <w:jc w:val="center"/>
              <w:ind w:right="1975"/>
              <w:spacing w:after="0"/>
              <w:rPr>
                <w:sz w:val="20"/>
                <w:szCs w:val="20"/>
                <w:color w:val="auto"/>
              </w:rPr>
            </w:pPr>
            <w:r>
              <w:rPr>
                <w:rFonts w:ascii="Arial" w:cs="Arial" w:eastAsia="Arial" w:hAnsi="Arial"/>
                <w:sz w:val="14"/>
                <w:szCs w:val="14"/>
                <w:color w:val="auto"/>
                <w:w w:val="94"/>
              </w:rPr>
              <w:t>Delaware</w:t>
            </w:r>
          </w:p>
        </w:tc>
        <w:tc>
          <w:tcPr>
            <w:tcW w:w="3020" w:type="dxa"/>
            <w:vAlign w:val="bottom"/>
          </w:tcPr>
          <w:p>
            <w:pPr>
              <w:jc w:val="right"/>
              <w:ind w:right="74"/>
              <w:spacing w:after="0"/>
              <w:rPr>
                <w:sz w:val="20"/>
                <w:szCs w:val="20"/>
                <w:color w:val="auto"/>
              </w:rPr>
            </w:pPr>
            <w:r>
              <w:rPr>
                <w:rFonts w:ascii="Arial" w:cs="Arial" w:eastAsia="Arial" w:hAnsi="Arial"/>
                <w:sz w:val="14"/>
                <w:szCs w:val="14"/>
                <w:color w:val="auto"/>
              </w:rPr>
              <w:t>82-4724808</w:t>
            </w:r>
          </w:p>
        </w:tc>
        <w:tc>
          <w:tcPr>
            <w:tcW w:w="0" w:type="dxa"/>
            <w:vAlign w:val="bottom"/>
          </w:tcPr>
          <w:p>
            <w:pPr>
              <w:spacing w:after="0"/>
              <w:rPr>
                <w:sz w:val="1"/>
                <w:szCs w:val="1"/>
                <w:color w:val="auto"/>
              </w:rPr>
            </w:pPr>
          </w:p>
        </w:tc>
      </w:tr>
      <w:tr>
        <w:trPr>
          <w:trHeight w:val="126"/>
        </w:trPr>
        <w:tc>
          <w:tcPr>
            <w:tcW w:w="4120" w:type="dxa"/>
            <w:vAlign w:val="bottom"/>
          </w:tcPr>
          <w:p>
            <w:pPr>
              <w:jc w:val="center"/>
              <w:ind w:right="1995"/>
              <w:spacing w:after="0" w:line="126" w:lineRule="exact"/>
              <w:rPr>
                <w:sz w:val="20"/>
                <w:szCs w:val="20"/>
                <w:color w:val="auto"/>
              </w:rPr>
            </w:pPr>
            <w:r>
              <w:rPr>
                <w:rFonts w:ascii="Arial" w:cs="Arial" w:eastAsia="Arial" w:hAnsi="Arial"/>
                <w:sz w:val="13"/>
                <w:szCs w:val="13"/>
                <w:b w:val="1"/>
                <w:bCs w:val="1"/>
                <w:color w:val="auto"/>
                <w:w w:val="88"/>
              </w:rPr>
              <w:t>(State or other jurisdiction of</w:t>
            </w:r>
          </w:p>
        </w:tc>
        <w:tc>
          <w:tcPr>
            <w:tcW w:w="3020" w:type="dxa"/>
            <w:vAlign w:val="bottom"/>
          </w:tcPr>
          <w:p>
            <w:pPr>
              <w:jc w:val="center"/>
              <w:ind w:left="1974"/>
              <w:spacing w:after="0" w:line="126"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08"/>
        </w:trPr>
        <w:tc>
          <w:tcPr>
            <w:tcW w:w="4120" w:type="dxa"/>
            <w:vAlign w:val="bottom"/>
          </w:tcPr>
          <w:p>
            <w:pPr>
              <w:jc w:val="center"/>
              <w:ind w:right="1975"/>
              <w:spacing w:after="0" w:line="108" w:lineRule="exact"/>
              <w:rPr>
                <w:sz w:val="20"/>
                <w:szCs w:val="20"/>
                <w:color w:val="auto"/>
              </w:rPr>
            </w:pPr>
            <w:r>
              <w:rPr>
                <w:rFonts w:ascii="Arial" w:cs="Arial" w:eastAsia="Arial" w:hAnsi="Arial"/>
                <w:sz w:val="12"/>
                <w:szCs w:val="12"/>
                <w:b w:val="1"/>
                <w:bCs w:val="1"/>
                <w:color w:val="auto"/>
                <w:w w:val="95"/>
              </w:rPr>
              <w:t>incorporation or organization)</w:t>
            </w:r>
          </w:p>
        </w:tc>
        <w:tc>
          <w:tcPr>
            <w:tcW w:w="3020" w:type="dxa"/>
            <w:vAlign w:val="bottom"/>
          </w:tcPr>
          <w:p>
            <w:pPr>
              <w:jc w:val="center"/>
              <w:ind w:left="1974"/>
              <w:spacing w:after="0" w:line="108" w:lineRule="exact"/>
              <w:rPr>
                <w:sz w:val="20"/>
                <w:szCs w:val="20"/>
                <w:color w:val="auto"/>
              </w:rPr>
            </w:pPr>
            <w:r>
              <w:rPr>
                <w:rFonts w:ascii="Arial" w:cs="Arial" w:eastAsia="Arial" w:hAnsi="Arial"/>
                <w:sz w:val="12"/>
                <w:szCs w:val="12"/>
                <w:b w:val="1"/>
                <w:bCs w:val="1"/>
                <w:color w:val="auto"/>
                <w:w w:val="96"/>
              </w:rPr>
              <w:t>Identification No.)</w:t>
            </w:r>
          </w:p>
        </w:tc>
        <w:tc>
          <w:tcPr>
            <w:tcW w:w="0" w:type="dxa"/>
            <w:vAlign w:val="bottom"/>
          </w:tcPr>
          <w:p>
            <w:pPr>
              <w:spacing w:after="0"/>
              <w:rPr>
                <w:sz w:val="1"/>
                <w:szCs w:val="1"/>
                <w:color w:val="auto"/>
              </w:rPr>
            </w:pPr>
          </w:p>
        </w:tc>
      </w:tr>
      <w:tr>
        <w:trPr>
          <w:trHeight w:val="148"/>
        </w:trPr>
        <w:tc>
          <w:tcPr>
            <w:tcW w:w="4120" w:type="dxa"/>
            <w:vAlign w:val="bottom"/>
          </w:tcPr>
          <w:p>
            <w:pPr>
              <w:jc w:val="center"/>
              <w:ind w:right="1975"/>
              <w:spacing w:after="0" w:line="149" w:lineRule="exact"/>
              <w:rPr>
                <w:sz w:val="20"/>
                <w:szCs w:val="20"/>
                <w:color w:val="auto"/>
              </w:rPr>
            </w:pPr>
            <w:r>
              <w:rPr>
                <w:rFonts w:ascii="Arial" w:cs="Arial" w:eastAsia="Arial" w:hAnsi="Arial"/>
                <w:sz w:val="13"/>
                <w:szCs w:val="13"/>
                <w:color w:val="auto"/>
                <w:w w:val="99"/>
              </w:rPr>
              <w:t>One Corporate Drive, 2</w:t>
            </w:r>
            <w:r>
              <w:rPr>
                <w:rFonts w:ascii="Arial" w:cs="Arial" w:eastAsia="Arial" w:hAnsi="Arial"/>
                <w:sz w:val="17"/>
                <w:szCs w:val="17"/>
                <w:color w:val="auto"/>
                <w:w w:val="99"/>
                <w:vertAlign w:val="superscript"/>
              </w:rPr>
              <w:t>nd</w:t>
            </w:r>
            <w:r>
              <w:rPr>
                <w:rFonts w:ascii="Arial" w:cs="Arial" w:eastAsia="Arial" w:hAnsi="Arial"/>
                <w:sz w:val="13"/>
                <w:szCs w:val="13"/>
                <w:color w:val="auto"/>
                <w:w w:val="99"/>
              </w:rPr>
              <w:t xml:space="preserve"> Floor</w:t>
            </w:r>
          </w:p>
        </w:tc>
        <w:tc>
          <w:tcPr>
            <w:tcW w:w="3020" w:type="dxa"/>
            <w:vAlign w:val="bottom"/>
            <w:vMerge w:val="restart"/>
          </w:tcPr>
          <w:p>
            <w:pPr>
              <w:jc w:val="right"/>
              <w:ind w:right="234"/>
              <w:spacing w:after="0"/>
              <w:rPr>
                <w:sz w:val="20"/>
                <w:szCs w:val="20"/>
                <w:color w:val="auto"/>
              </w:rPr>
            </w:pPr>
            <w:r>
              <w:rPr>
                <w:rFonts w:ascii="Arial" w:cs="Arial" w:eastAsia="Arial" w:hAnsi="Arial"/>
                <w:sz w:val="14"/>
                <w:szCs w:val="14"/>
                <w:color w:val="auto"/>
              </w:rPr>
              <w:t>94080</w:t>
            </w:r>
          </w:p>
        </w:tc>
        <w:tc>
          <w:tcPr>
            <w:tcW w:w="0" w:type="dxa"/>
            <w:vAlign w:val="bottom"/>
          </w:tcPr>
          <w:p>
            <w:pPr>
              <w:spacing w:after="0"/>
              <w:rPr>
                <w:sz w:val="1"/>
                <w:szCs w:val="1"/>
                <w:color w:val="auto"/>
              </w:rPr>
            </w:pPr>
          </w:p>
        </w:tc>
      </w:tr>
      <w:tr>
        <w:trPr>
          <w:trHeight w:val="157"/>
        </w:trPr>
        <w:tc>
          <w:tcPr>
            <w:tcW w:w="4120" w:type="dxa"/>
            <w:vAlign w:val="bottom"/>
          </w:tcPr>
          <w:p>
            <w:pPr>
              <w:jc w:val="center"/>
              <w:ind w:right="1975"/>
              <w:spacing w:after="0" w:line="157" w:lineRule="exact"/>
              <w:rPr>
                <w:sz w:val="20"/>
                <w:szCs w:val="20"/>
                <w:color w:val="auto"/>
              </w:rPr>
            </w:pPr>
            <w:r>
              <w:rPr>
                <w:rFonts w:ascii="Arial" w:cs="Arial" w:eastAsia="Arial" w:hAnsi="Arial"/>
                <w:sz w:val="14"/>
                <w:szCs w:val="14"/>
                <w:color w:val="auto"/>
                <w:w w:val="93"/>
              </w:rPr>
              <w:t>South San Francisco, California</w:t>
            </w:r>
          </w:p>
        </w:tc>
        <w:tc>
          <w:tcPr>
            <w:tcW w:w="3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120" w:type="dxa"/>
            <w:vAlign w:val="bottom"/>
          </w:tcPr>
          <w:p>
            <w:pPr>
              <w:jc w:val="center"/>
              <w:ind w:right="1975"/>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74"/>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bl>
    <w:p>
      <w:pPr>
        <w:spacing w:after="0" w:line="11"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Registrant’s telephone number, including area code: (800) 466-6059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120015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Title of each class</w:t>
            </w:r>
          </w:p>
        </w:tc>
        <w:tc>
          <w:tcPr>
            <w:tcW w:w="120" w:type="dxa"/>
            <w:vAlign w:val="bottom"/>
          </w:tcPr>
          <w:p>
            <w:pPr>
              <w:spacing w:after="0"/>
              <w:rPr>
                <w:sz w:val="13"/>
                <w:szCs w:val="13"/>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Trading Symbol(s)</w:t>
            </w:r>
          </w:p>
        </w:tc>
        <w:tc>
          <w:tcPr>
            <w:tcW w:w="100" w:type="dxa"/>
            <w:vAlign w:val="bottom"/>
          </w:tcPr>
          <w:p>
            <w:pPr>
              <w:spacing w:after="0"/>
              <w:rPr>
                <w:sz w:val="13"/>
                <w:szCs w:val="13"/>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r>
      <w:tr>
        <w:trPr>
          <w:trHeight w:val="115"/>
        </w:trPr>
        <w:tc>
          <w:tcPr>
            <w:tcW w:w="4400" w:type="dxa"/>
            <w:vAlign w:val="bottom"/>
          </w:tcPr>
          <w:p>
            <w:pPr>
              <w:jc w:val="center"/>
              <w:spacing w:after="0" w:line="115" w:lineRule="exact"/>
              <w:rPr>
                <w:sz w:val="20"/>
                <w:szCs w:val="20"/>
                <w:color w:val="auto"/>
              </w:rPr>
            </w:pPr>
            <w:r>
              <w:rPr>
                <w:rFonts w:ascii="Arial" w:cs="Arial" w:eastAsia="Arial" w:hAnsi="Arial"/>
                <w:sz w:val="13"/>
                <w:szCs w:val="13"/>
                <w:color w:val="auto"/>
                <w:w w:val="99"/>
              </w:rPr>
              <w:t>Common Stock, par value, $0.0001 per share</w:t>
            </w:r>
          </w:p>
        </w:tc>
        <w:tc>
          <w:tcPr>
            <w:tcW w:w="120" w:type="dxa"/>
            <w:vAlign w:val="bottom"/>
          </w:tcPr>
          <w:p>
            <w:pPr>
              <w:spacing w:after="0"/>
              <w:rPr>
                <w:sz w:val="10"/>
                <w:szCs w:val="10"/>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3"/>
                <w:szCs w:val="13"/>
                <w:color w:val="auto"/>
              </w:rPr>
              <w:t>ALGS</w:t>
            </w:r>
          </w:p>
        </w:tc>
        <w:tc>
          <w:tcPr>
            <w:tcW w:w="100" w:type="dxa"/>
            <w:vAlign w:val="bottom"/>
          </w:tcPr>
          <w:p>
            <w:pPr>
              <w:spacing w:after="0"/>
              <w:rPr>
                <w:sz w:val="10"/>
                <w:szCs w:val="10"/>
                <w:color w:val="auto"/>
              </w:rPr>
            </w:pPr>
          </w:p>
        </w:tc>
        <w:tc>
          <w:tcPr>
            <w:tcW w:w="4380" w:type="dxa"/>
            <w:vAlign w:val="bottom"/>
          </w:tcPr>
          <w:p>
            <w:pPr>
              <w:jc w:val="center"/>
              <w:spacing w:after="0" w:line="115" w:lineRule="exact"/>
              <w:rPr>
                <w:sz w:val="20"/>
                <w:szCs w:val="20"/>
                <w:color w:val="auto"/>
              </w:rPr>
            </w:pPr>
            <w:r>
              <w:rPr>
                <w:rFonts w:ascii="Arial" w:cs="Arial" w:eastAsia="Arial" w:hAnsi="Arial"/>
                <w:sz w:val="13"/>
                <w:szCs w:val="13"/>
                <w:color w:val="auto"/>
              </w:rPr>
              <w:t>The Nasdaq Stock Market LLC</w:t>
            </w:r>
          </w:p>
        </w:tc>
      </w:tr>
      <w:tr>
        <w:trPr>
          <w:trHeight w:val="182"/>
        </w:trPr>
        <w:tc>
          <w:tcPr>
            <w:tcW w:w="4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tcPr>
          <w:p>
            <w:pPr>
              <w:jc w:val="center"/>
              <w:spacing w:after="0"/>
              <w:rPr>
                <w:sz w:val="20"/>
                <w:szCs w:val="20"/>
                <w:color w:val="auto"/>
              </w:rPr>
            </w:pPr>
            <w:r>
              <w:rPr>
                <w:rFonts w:ascii="Arial" w:cs="Arial" w:eastAsia="Arial" w:hAnsi="Arial"/>
                <w:sz w:val="14"/>
                <w:szCs w:val="14"/>
                <w:color w:val="auto"/>
                <w:w w:val="92"/>
              </w:rPr>
              <w:t>(Nasdaq Global Select Market)</w:t>
            </w:r>
          </w:p>
        </w:tc>
      </w:tr>
      <w:tr>
        <w:trPr>
          <w:trHeight w:val="211"/>
        </w:trPr>
        <w:tc>
          <w:tcPr>
            <w:tcW w:w="4400" w:type="dxa"/>
            <w:vAlign w:val="bottom"/>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Pr>
          <w:p>
            <w:pPr>
              <w:spacing w:after="0"/>
              <w:rPr>
                <w:sz w:val="18"/>
                <w:szCs w:val="18"/>
                <w:color w:val="auto"/>
              </w:rPr>
            </w:pPr>
          </w:p>
        </w:tc>
      </w:tr>
    </w:tbl>
    <w:p>
      <w:pPr>
        <w:ind w:right="3540"/>
        <w:spacing w:after="0" w:line="21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120"/>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40"/>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38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0"/>
        </w:trPr>
        <w:tc>
          <w:tcPr>
            <w:tcW w:w="19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1020" w:type="dxa"/>
            <w:vAlign w:val="bottom"/>
          </w:tcPr>
          <w:p>
            <w:pPr>
              <w:ind w:left="60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ind w:left="280"/>
              <w:spacing w:after="0"/>
              <w:rPr>
                <w:sz w:val="20"/>
                <w:szCs w:val="20"/>
                <w:color w:val="auto"/>
              </w:rPr>
            </w:pPr>
            <w:r>
              <w:rPr>
                <w:rFonts w:ascii="Arial" w:cs="Arial" w:eastAsia="Arial" w:hAnsi="Arial"/>
                <w:sz w:val="15"/>
                <w:szCs w:val="15"/>
                <w:color w:val="auto"/>
              </w:rPr>
              <w:t>Accelerated filer</w:t>
            </w:r>
          </w:p>
        </w:tc>
        <w:tc>
          <w:tcPr>
            <w:tcW w:w="3000" w:type="dxa"/>
            <w:vAlign w:val="bottom"/>
          </w:tcPr>
          <w:p>
            <w:pPr>
              <w:ind w:left="28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04"/>
        </w:trPr>
        <w:tc>
          <w:tcPr>
            <w:tcW w:w="1960" w:type="dxa"/>
            <w:vAlign w:val="bottom"/>
          </w:tcPr>
          <w:p>
            <w:pPr>
              <w:spacing w:after="0"/>
              <w:rPr>
                <w:sz w:val="20"/>
                <w:szCs w:val="20"/>
                <w:color w:val="auto"/>
              </w:rPr>
            </w:pPr>
            <w:r>
              <w:rPr>
                <w:rFonts w:ascii="Arial" w:cs="Arial" w:eastAsia="Arial" w:hAnsi="Arial"/>
                <w:sz w:val="15"/>
                <w:szCs w:val="15"/>
                <w:color w:val="auto"/>
              </w:rPr>
              <w:t>Non-accelerated filer</w:t>
            </w:r>
          </w:p>
        </w:tc>
        <w:tc>
          <w:tcPr>
            <w:tcW w:w="10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80"/>
              <w:spacing w:after="0"/>
              <w:rPr>
                <w:sz w:val="20"/>
                <w:szCs w:val="20"/>
                <w:color w:val="auto"/>
              </w:rPr>
            </w:pPr>
            <w:r>
              <w:rPr>
                <w:rFonts w:ascii="Arial" w:cs="Arial" w:eastAsia="Arial" w:hAnsi="Arial"/>
                <w:sz w:val="15"/>
                <w:szCs w:val="15"/>
                <w:color w:val="auto"/>
              </w:rPr>
              <w:t>Smaller reporting company</w:t>
            </w:r>
          </w:p>
        </w:tc>
        <w:tc>
          <w:tcPr>
            <w:tcW w:w="3000" w:type="dxa"/>
            <w:vAlign w:val="bottom"/>
          </w:tcPr>
          <w:p>
            <w:pPr>
              <w:ind w:left="28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38"/>
        </w:trPr>
        <w:tc>
          <w:tcPr>
            <w:tcW w:w="1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20" w:type="dxa"/>
            <w:vAlign w:val="bottom"/>
          </w:tcPr>
          <w:p>
            <w:pPr>
              <w:ind w:left="280"/>
              <w:spacing w:after="0"/>
              <w:rPr>
                <w:sz w:val="20"/>
                <w:szCs w:val="20"/>
                <w:color w:val="auto"/>
              </w:rPr>
            </w:pPr>
            <w:r>
              <w:rPr>
                <w:rFonts w:ascii="Arial" w:cs="Arial" w:eastAsia="Arial" w:hAnsi="Arial"/>
                <w:sz w:val="15"/>
                <w:szCs w:val="15"/>
                <w:color w:val="auto"/>
              </w:rPr>
              <w:t>Emerging growth company</w:t>
            </w:r>
          </w:p>
        </w:tc>
        <w:tc>
          <w:tcPr>
            <w:tcW w:w="3000" w:type="dxa"/>
            <w:vAlign w:val="bottom"/>
          </w:tcPr>
          <w:p>
            <w:pPr>
              <w:ind w:left="28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3" w:lineRule="exact"/>
        <w:rPr>
          <w:sz w:val="24"/>
          <w:szCs w:val="24"/>
          <w:color w:val="auto"/>
        </w:rPr>
      </w:pPr>
    </w:p>
    <w:p>
      <w:pPr>
        <w:ind w:right="52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19"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audit report. </w:t>
      </w:r>
      <w:r>
        <w:rPr>
          <w:rFonts w:ascii="MS PGothic" w:cs="MS PGothic" w:eastAsia="MS PGothic" w:hAnsi="MS PGothic"/>
          <w:sz w:val="14"/>
          <w:szCs w:val="14"/>
          <w:color w:val="auto"/>
        </w:rPr>
        <w:t>☐</w:t>
      </w:r>
    </w:p>
    <w:p>
      <w:pPr>
        <w:spacing w:after="0" w:line="2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0" w:lineRule="exact"/>
        <w:rPr>
          <w:sz w:val="24"/>
          <w:szCs w:val="24"/>
          <w:color w:val="auto"/>
        </w:rPr>
      </w:pPr>
    </w:p>
    <w:p>
      <w:pPr>
        <w:ind w:right="40"/>
        <w:spacing w:after="0" w:line="264" w:lineRule="auto"/>
        <w:rPr>
          <w:sz w:val="20"/>
          <w:szCs w:val="20"/>
          <w:color w:val="auto"/>
        </w:rPr>
      </w:pPr>
      <w:r>
        <w:rPr>
          <w:rFonts w:ascii="Arial" w:cs="Arial" w:eastAsia="Arial" w:hAnsi="Arial"/>
          <w:sz w:val="13"/>
          <w:szCs w:val="13"/>
          <w:color w:val="auto"/>
        </w:rPr>
        <w:t>The aggregate market value of common stock held by non-affiliates of the Registrant was 25,583,489 shares of common stock, $0.0001 par value per share, outstanding, comprised of 22,491,151 shares of voting common stock, $0.0001 par value per share and 3,092,338 shares of non-voting common stock, $0.0001 par value per share, as of June 30, 2021, the last business day of the Registrant’s most recently completed second fiscal quarter (based on the closing sales price for the Registrant’s common stock on the Nasdaq Global Select Market on such date).</w:t>
      </w:r>
    </w:p>
    <w:p>
      <w:pPr>
        <w:spacing w:after="0" w:line="128" w:lineRule="exact"/>
        <w:rPr>
          <w:sz w:val="24"/>
          <w:szCs w:val="24"/>
          <w:color w:val="auto"/>
        </w:rPr>
      </w:pPr>
    </w:p>
    <w:p>
      <w:pPr>
        <w:ind w:right="300"/>
        <w:spacing w:after="0" w:line="273" w:lineRule="auto"/>
        <w:rPr>
          <w:sz w:val="20"/>
          <w:szCs w:val="20"/>
          <w:color w:val="auto"/>
        </w:rPr>
      </w:pPr>
      <w:r>
        <w:rPr>
          <w:rFonts w:ascii="Arial" w:cs="Arial" w:eastAsia="Arial" w:hAnsi="Arial"/>
          <w:sz w:val="14"/>
          <w:szCs w:val="14"/>
          <w:color w:val="auto"/>
        </w:rPr>
        <w:t>As of March 4, 2022, the Registrant had 42,694,134 shares of common stock, $0.0001 par value per share, outstanding, comprised of 39,601,796 shares of voting common stock, $0.0001 par value per share and 3,092,338 shares of non-voting common stock, $0.0001 par value per share.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4"/>
          <w:szCs w:val="24"/>
          <w:color w:val="auto"/>
        </w:rPr>
      </w:pPr>
    </w:p>
    <w:p>
      <w:pPr>
        <w:ind w:right="140"/>
        <w:spacing w:after="0" w:line="253" w:lineRule="auto"/>
        <w:rPr>
          <w:sz w:val="20"/>
          <w:szCs w:val="20"/>
          <w:color w:val="auto"/>
        </w:rPr>
      </w:pPr>
      <w:r>
        <w:rPr>
          <w:rFonts w:ascii="Arial" w:cs="Arial" w:eastAsia="Arial" w:hAnsi="Arial"/>
          <w:sz w:val="14"/>
          <w:szCs w:val="14"/>
          <w:color w:val="auto"/>
        </w:rPr>
        <w:t>Portions of the Registrant’s Definitive Proxy Statement relating to the 2022 Annual Meeting of Stockholders, which will be filed with the Securities and Exchange Commission within 120 days after the end of the Registrant’s fiscal year ended December 31, 2021,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60" w:type="dxa"/>
            <w:vAlign w:val="bottom"/>
            <w:gridSpan w:val="9"/>
          </w:tcPr>
          <w:p>
            <w:pPr>
              <w:ind w:left="4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16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line="190" w:lineRule="exact"/>
              <w:rPr>
                <w:rFonts w:ascii="Arial" w:cs="Arial" w:eastAsia="Arial" w:hAnsi="Arial"/>
                <w:sz w:val="18"/>
                <w:szCs w:val="18"/>
                <w:color w:val="0563C1"/>
              </w:rPr>
            </w:pPr>
            <w:hyperlink w:anchor="page6">
              <w:r>
                <w:rPr>
                  <w:rFonts w:ascii="Arial" w:cs="Arial" w:eastAsia="Arial" w:hAnsi="Arial"/>
                  <w:sz w:val="18"/>
                  <w:szCs w:val="18"/>
                  <w:color w:val="0563C1"/>
                </w:rPr>
                <w:t>Business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1A.</w:t>
            </w:r>
          </w:p>
        </w:tc>
        <w:tc>
          <w:tcPr>
            <w:tcW w:w="64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44</w:t>
            </w:r>
          </w:p>
        </w:tc>
        <w:tc>
          <w:tcPr>
            <w:tcW w:w="0" w:type="dxa"/>
            <w:vAlign w:val="bottom"/>
          </w:tcPr>
          <w:p>
            <w:pPr>
              <w:spacing w:after="0" w:line="20" w:lineRule="exact"/>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9300" w:type="dxa"/>
            <w:vAlign w:val="bottom"/>
            <w:gridSpan w:val="21"/>
          </w:tcPr>
          <w:p>
            <w:pPr>
              <w:spacing w:after="0" w:line="169" w:lineRule="exact"/>
              <w:rPr>
                <w:rFonts w:ascii="Arial" w:cs="Arial" w:eastAsia="Arial" w:hAnsi="Arial"/>
                <w:sz w:val="18"/>
                <w:szCs w:val="18"/>
                <w:color w:val="0563C1"/>
              </w:rPr>
            </w:pPr>
            <w:hyperlink w:anchor="page49">
              <w:r>
                <w:rPr>
                  <w:rFonts w:ascii="Arial" w:cs="Arial" w:eastAsia="Arial" w:hAnsi="Arial"/>
                  <w:sz w:val="18"/>
                  <w:szCs w:val="18"/>
                  <w:color w:val="0563C1"/>
                </w:rPr>
                <w:t>Risk Factors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tcPr>
          <w:p>
            <w:pPr>
              <w:ind w:left="140"/>
              <w:spacing w:after="0" w:line="169" w:lineRule="exact"/>
              <w:rPr>
                <w:sz w:val="20"/>
                <w:szCs w:val="20"/>
                <w:color w:val="auto"/>
              </w:rPr>
            </w:pPr>
            <w:r>
              <w:rPr>
                <w:rFonts w:ascii="Arial" w:cs="Arial" w:eastAsia="Arial" w:hAnsi="Arial"/>
                <w:sz w:val="18"/>
                <w:szCs w:val="18"/>
                <w:color w:val="auto"/>
              </w:rPr>
              <w:t>Item 1B.</w:t>
            </w:r>
          </w:p>
        </w:tc>
        <w:tc>
          <w:tcPr>
            <w:tcW w:w="920" w:type="dxa"/>
            <w:vAlign w:val="bottom"/>
            <w:tcBorders>
              <w:top w:val="single" w:sz="8" w:color="0563C1"/>
            </w:tcBorders>
            <w:gridSpan w:val="4"/>
          </w:tcPr>
          <w:p>
            <w:pPr>
              <w:spacing w:after="0" w:line="169" w:lineRule="exact"/>
              <w:rPr>
                <w:rFonts w:ascii="Arial" w:cs="Arial" w:eastAsia="Arial" w:hAnsi="Arial"/>
                <w:sz w:val="18"/>
                <w:szCs w:val="18"/>
                <w:color w:val="0563C1"/>
                <w:w w:val="98"/>
              </w:rPr>
            </w:pPr>
            <w:hyperlink w:anchor="page107">
              <w:r>
                <w:rPr>
                  <w:rFonts w:ascii="Arial" w:cs="Arial" w:eastAsia="Arial" w:hAnsi="Arial"/>
                  <w:sz w:val="18"/>
                  <w:szCs w:val="18"/>
                  <w:color w:val="0563C1"/>
                  <w:w w:val="98"/>
                </w:rPr>
                <w:t>Unresolved</w:t>
              </w:r>
            </w:hyperlink>
          </w:p>
        </w:tc>
        <w:tc>
          <w:tcPr>
            <w:tcW w:w="8380" w:type="dxa"/>
            <w:vAlign w:val="bottom"/>
            <w:gridSpan w:val="17"/>
          </w:tcPr>
          <w:p>
            <w:pPr>
              <w:spacing w:after="0" w:line="169" w:lineRule="exact"/>
              <w:rPr>
                <w:rFonts w:ascii="Arial" w:cs="Arial" w:eastAsia="Arial" w:hAnsi="Arial"/>
                <w:sz w:val="18"/>
                <w:szCs w:val="18"/>
                <w:color w:val="0563C1"/>
              </w:rPr>
            </w:pPr>
            <w:hyperlink w:anchor="page107">
              <w:r>
                <w:rPr>
                  <w:rFonts w:ascii="Arial" w:cs="Arial" w:eastAsia="Arial" w:hAnsi="Arial"/>
                  <w:sz w:val="18"/>
                  <w:szCs w:val="18"/>
                  <w:color w:val="0563C1"/>
                </w:rPr>
                <w:t>Staff Comments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69"/>
        </w:trPr>
        <w:tc>
          <w:tcPr>
            <w:tcW w:w="1160" w:type="dxa"/>
            <w:vAlign w:val="bottom"/>
          </w:tcPr>
          <w:p>
            <w:pPr>
              <w:ind w:left="140"/>
              <w:spacing w:after="0" w:line="169"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563C1"/>
              <w:bottom w:val="single" w:sz="8" w:color="0563C1"/>
            </w:tcBorders>
            <w:gridSpan w:val="2"/>
          </w:tcPr>
          <w:p>
            <w:pPr>
              <w:spacing w:after="0" w:line="169" w:lineRule="exact"/>
              <w:rPr>
                <w:rFonts w:ascii="Arial" w:cs="Arial" w:eastAsia="Arial" w:hAnsi="Arial"/>
                <w:sz w:val="18"/>
                <w:szCs w:val="18"/>
                <w:color w:val="0563C1"/>
                <w:w w:val="87"/>
              </w:rPr>
            </w:pPr>
            <w:hyperlink w:anchor="page107">
              <w:r>
                <w:rPr>
                  <w:rFonts w:ascii="Arial" w:cs="Arial" w:eastAsia="Arial" w:hAnsi="Arial"/>
                  <w:sz w:val="18"/>
                  <w:szCs w:val="18"/>
                  <w:color w:val="0563C1"/>
                  <w:w w:val="87"/>
                </w:rPr>
                <w:t>Properties</w:t>
              </w:r>
            </w:hyperlink>
          </w:p>
        </w:tc>
        <w:tc>
          <w:tcPr>
            <w:tcW w:w="1320" w:type="dxa"/>
            <w:vAlign w:val="bottom"/>
            <w:tcBorders>
              <w:top w:val="single" w:sz="8" w:color="0563C1"/>
            </w:tcBorders>
            <w:gridSpan w:val="7"/>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69"/>
        </w:trPr>
        <w:tc>
          <w:tcPr>
            <w:tcW w:w="1160" w:type="dxa"/>
            <w:vAlign w:val="bottom"/>
          </w:tcPr>
          <w:p>
            <w:pPr>
              <w:ind w:left="140"/>
              <w:spacing w:after="0" w:line="169" w:lineRule="exact"/>
              <w:rPr>
                <w:sz w:val="20"/>
                <w:szCs w:val="20"/>
                <w:color w:val="auto"/>
              </w:rPr>
            </w:pPr>
            <w:r>
              <w:rPr>
                <w:rFonts w:ascii="Arial" w:cs="Arial" w:eastAsia="Arial" w:hAnsi="Arial"/>
                <w:sz w:val="18"/>
                <w:szCs w:val="18"/>
                <w:color w:val="auto"/>
              </w:rPr>
              <w:t>Item 3.</w:t>
            </w:r>
          </w:p>
        </w:tc>
        <w:tc>
          <w:tcPr>
            <w:tcW w:w="9300" w:type="dxa"/>
            <w:vAlign w:val="bottom"/>
            <w:gridSpan w:val="21"/>
          </w:tcPr>
          <w:p>
            <w:pPr>
              <w:spacing w:after="0" w:line="169" w:lineRule="exact"/>
              <w:rPr>
                <w:rFonts w:ascii="Arial" w:cs="Arial" w:eastAsia="Arial" w:hAnsi="Arial"/>
                <w:sz w:val="18"/>
                <w:szCs w:val="18"/>
                <w:color w:val="0563C1"/>
              </w:rPr>
            </w:pPr>
            <w:hyperlink w:anchor="page108">
              <w:r>
                <w:rPr>
                  <w:rFonts w:ascii="Arial" w:cs="Arial" w:eastAsia="Arial" w:hAnsi="Arial"/>
                  <w:sz w:val="18"/>
                  <w:szCs w:val="18"/>
                  <w:color w:val="0563C1"/>
                </w:rPr>
                <w:t>Legal Proceedings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11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4.</w:t>
            </w:r>
          </w:p>
        </w:tc>
        <w:tc>
          <w:tcPr>
            <w:tcW w:w="800" w:type="dxa"/>
            <w:vAlign w:val="bottom"/>
            <w:gridSpan w:val="3"/>
            <w:shd w:val="clear" w:color="auto" w:fill="0563C1"/>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103</w:t>
            </w:r>
          </w:p>
        </w:tc>
        <w:tc>
          <w:tcPr>
            <w:tcW w:w="0" w:type="dxa"/>
            <w:vAlign w:val="bottom"/>
          </w:tcPr>
          <w:p>
            <w:pPr>
              <w:spacing w:after="0" w:line="20" w:lineRule="exact"/>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9300" w:type="dxa"/>
            <w:vAlign w:val="bottom"/>
            <w:gridSpan w:val="21"/>
          </w:tcPr>
          <w:p>
            <w:pPr>
              <w:spacing w:after="0" w:line="169" w:lineRule="exact"/>
              <w:rPr>
                <w:rFonts w:ascii="Arial" w:cs="Arial" w:eastAsia="Arial" w:hAnsi="Arial"/>
                <w:sz w:val="18"/>
                <w:szCs w:val="18"/>
                <w:color w:val="0563C1"/>
              </w:rPr>
            </w:pPr>
            <w:hyperlink w:anchor="page108">
              <w:r>
                <w:rPr>
                  <w:rFonts w:ascii="Arial" w:cs="Arial" w:eastAsia="Arial" w:hAnsi="Arial"/>
                  <w:sz w:val="18"/>
                  <w:szCs w:val="18"/>
                  <w:color w:val="0563C1"/>
                </w:rPr>
                <w:t>Mine Safety Disclosures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9300" w:type="dxa"/>
            <w:vAlign w:val="bottom"/>
            <w:gridSpan w:val="21"/>
          </w:tcPr>
          <w:p>
            <w:pPr>
              <w:spacing w:after="0" w:line="190" w:lineRule="exact"/>
              <w:rPr>
                <w:rFonts w:ascii="Arial" w:cs="Arial" w:eastAsia="Arial" w:hAnsi="Arial"/>
                <w:sz w:val="18"/>
                <w:szCs w:val="18"/>
                <w:color w:val="0563C1"/>
              </w:rPr>
            </w:pPr>
            <w:hyperlink w:anchor="page109">
              <w:r>
                <w:rPr>
                  <w:rFonts w:ascii="Arial" w:cs="Arial" w:eastAsia="Arial" w:hAnsi="Arial"/>
                  <w:sz w:val="18"/>
                  <w:szCs w:val="18"/>
                  <w:color w:val="0563C1"/>
                </w:rPr>
                <w:t>Market for Registrant’s Common Equity, Related Stockholder Matters and Issuer Purchases of Equity Securities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69"/>
        </w:trPr>
        <w:tc>
          <w:tcPr>
            <w:tcW w:w="1160" w:type="dxa"/>
            <w:vAlign w:val="bottom"/>
          </w:tcPr>
          <w:p>
            <w:pPr>
              <w:ind w:left="140"/>
              <w:spacing w:after="0" w:line="169" w:lineRule="exact"/>
              <w:rPr>
                <w:sz w:val="20"/>
                <w:szCs w:val="20"/>
                <w:color w:val="auto"/>
              </w:rPr>
            </w:pPr>
            <w:r>
              <w:rPr>
                <w:rFonts w:ascii="Arial" w:cs="Arial" w:eastAsia="Arial" w:hAnsi="Arial"/>
                <w:sz w:val="18"/>
                <w:szCs w:val="18"/>
                <w:color w:val="auto"/>
              </w:rPr>
              <w:t>Item 6.</w:t>
            </w:r>
          </w:p>
        </w:tc>
        <w:tc>
          <w:tcPr>
            <w:tcW w:w="800" w:type="dxa"/>
            <w:vAlign w:val="bottom"/>
            <w:tcBorders>
              <w:top w:val="single" w:sz="8" w:color="0563C1"/>
              <w:bottom w:val="single" w:sz="8" w:color="0563C1"/>
            </w:tcBorders>
            <w:gridSpan w:val="3"/>
          </w:tcPr>
          <w:p>
            <w:pPr>
              <w:spacing w:after="0" w:line="169" w:lineRule="exact"/>
              <w:rPr>
                <w:rFonts w:ascii="Arial" w:cs="Arial" w:eastAsia="Arial" w:hAnsi="Arial"/>
                <w:sz w:val="18"/>
                <w:szCs w:val="18"/>
                <w:color w:val="0563C1"/>
                <w:w w:val="89"/>
              </w:rPr>
            </w:pPr>
            <w:hyperlink w:anchor="page109">
              <w:r>
                <w:rPr>
                  <w:rFonts w:ascii="Arial" w:cs="Arial" w:eastAsia="Arial" w:hAnsi="Arial"/>
                  <w:sz w:val="18"/>
                  <w:szCs w:val="18"/>
                  <w:color w:val="0563C1"/>
                  <w:w w:val="89"/>
                </w:rPr>
                <w:t>[Reserved]</w:t>
              </w:r>
            </w:hyperlink>
          </w:p>
        </w:tc>
        <w:tc>
          <w:tcPr>
            <w:tcW w:w="7280" w:type="dxa"/>
            <w:vAlign w:val="bottom"/>
            <w:tcBorders>
              <w:top w:val="single" w:sz="8" w:color="0563C1"/>
            </w:tcBorders>
            <w:gridSpan w:val="17"/>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69"/>
        </w:trPr>
        <w:tc>
          <w:tcPr>
            <w:tcW w:w="1160" w:type="dxa"/>
            <w:vAlign w:val="bottom"/>
          </w:tcPr>
          <w:p>
            <w:pPr>
              <w:ind w:left="140"/>
              <w:spacing w:after="0" w:line="169" w:lineRule="exact"/>
              <w:rPr>
                <w:sz w:val="20"/>
                <w:szCs w:val="20"/>
                <w:color w:val="auto"/>
              </w:rPr>
            </w:pPr>
            <w:r>
              <w:rPr>
                <w:rFonts w:ascii="Arial" w:cs="Arial" w:eastAsia="Arial" w:hAnsi="Arial"/>
                <w:sz w:val="18"/>
                <w:szCs w:val="18"/>
                <w:color w:val="auto"/>
              </w:rPr>
              <w:t>Item 7.</w:t>
            </w:r>
          </w:p>
        </w:tc>
        <w:tc>
          <w:tcPr>
            <w:tcW w:w="9300" w:type="dxa"/>
            <w:vAlign w:val="bottom"/>
            <w:gridSpan w:val="21"/>
          </w:tcPr>
          <w:p>
            <w:pPr>
              <w:spacing w:after="0" w:line="169" w:lineRule="exact"/>
              <w:rPr>
                <w:rFonts w:ascii="Arial" w:cs="Arial" w:eastAsia="Arial" w:hAnsi="Arial"/>
                <w:sz w:val="18"/>
                <w:szCs w:val="18"/>
                <w:color w:val="0563C1"/>
              </w:rPr>
            </w:pPr>
            <w:hyperlink w:anchor="page110">
              <w:r>
                <w:rPr>
                  <w:rFonts w:ascii="Arial" w:cs="Arial" w:eastAsia="Arial" w:hAnsi="Arial"/>
                  <w:sz w:val="18"/>
                  <w:szCs w:val="18"/>
                  <w:color w:val="0563C1"/>
                </w:rPr>
                <w:t>Management’s Discussion and Analysis of Financial Condition and Results of Operations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69"/>
        </w:trPr>
        <w:tc>
          <w:tcPr>
            <w:tcW w:w="1160" w:type="dxa"/>
            <w:vAlign w:val="bottom"/>
          </w:tcPr>
          <w:p>
            <w:pPr>
              <w:ind w:left="140"/>
              <w:spacing w:after="0" w:line="169"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563C1"/>
            </w:tcBorders>
            <w:gridSpan w:val="17"/>
          </w:tcPr>
          <w:p>
            <w:pPr>
              <w:spacing w:after="0" w:line="169" w:lineRule="exact"/>
              <w:rPr>
                <w:rFonts w:ascii="Arial" w:cs="Arial" w:eastAsia="Arial" w:hAnsi="Arial"/>
                <w:sz w:val="18"/>
                <w:szCs w:val="18"/>
                <w:color w:val="0563C1"/>
              </w:rPr>
            </w:pPr>
            <w:hyperlink w:anchor="page120">
              <w:r>
                <w:rPr>
                  <w:rFonts w:ascii="Arial" w:cs="Arial" w:eastAsia="Arial" w:hAnsi="Arial"/>
                  <w:sz w:val="18"/>
                  <w:szCs w:val="18"/>
                  <w:color w:val="0563C1"/>
                </w:rPr>
                <w:t>Quantitative and Qualitative Disclosures About Market Risk</w:t>
              </w:r>
            </w:hyperlink>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69"/>
        </w:trPr>
        <w:tc>
          <w:tcPr>
            <w:tcW w:w="1160" w:type="dxa"/>
            <w:vAlign w:val="bottom"/>
          </w:tcPr>
          <w:p>
            <w:pPr>
              <w:ind w:left="140"/>
              <w:spacing w:after="0" w:line="169" w:lineRule="exact"/>
              <w:rPr>
                <w:sz w:val="20"/>
                <w:szCs w:val="20"/>
                <w:color w:val="auto"/>
              </w:rPr>
            </w:pPr>
            <w:r>
              <w:rPr>
                <w:rFonts w:ascii="Arial" w:cs="Arial" w:eastAsia="Arial" w:hAnsi="Arial"/>
                <w:sz w:val="18"/>
                <w:szCs w:val="18"/>
                <w:color w:val="auto"/>
              </w:rPr>
              <w:t>Item 8.</w:t>
            </w:r>
          </w:p>
        </w:tc>
        <w:tc>
          <w:tcPr>
            <w:tcW w:w="4360" w:type="dxa"/>
            <w:vAlign w:val="bottom"/>
            <w:tcBorders>
              <w:top w:val="single" w:sz="8" w:color="0563C1"/>
            </w:tcBorders>
            <w:gridSpan w:val="14"/>
          </w:tcPr>
          <w:p>
            <w:pPr>
              <w:spacing w:after="0" w:line="169" w:lineRule="exact"/>
              <w:rPr>
                <w:rFonts w:ascii="Arial" w:cs="Arial" w:eastAsia="Arial" w:hAnsi="Arial"/>
                <w:sz w:val="18"/>
                <w:szCs w:val="18"/>
                <w:color w:val="0563C1"/>
              </w:rPr>
            </w:pPr>
            <w:hyperlink w:anchor="page121">
              <w:r>
                <w:rPr>
                  <w:rFonts w:ascii="Arial" w:cs="Arial" w:eastAsia="Arial" w:hAnsi="Arial"/>
                  <w:sz w:val="18"/>
                  <w:szCs w:val="18"/>
                  <w:color w:val="0563C1"/>
                </w:rPr>
                <w:t>Financial Statements and Supplementary Data</w:t>
              </w:r>
            </w:hyperlink>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69"/>
        </w:trPr>
        <w:tc>
          <w:tcPr>
            <w:tcW w:w="1160" w:type="dxa"/>
            <w:vAlign w:val="bottom"/>
          </w:tcPr>
          <w:p>
            <w:pPr>
              <w:ind w:left="140"/>
              <w:spacing w:after="0" w:line="169" w:lineRule="exact"/>
              <w:rPr>
                <w:sz w:val="20"/>
                <w:szCs w:val="20"/>
                <w:color w:val="auto"/>
              </w:rPr>
            </w:pPr>
            <w:r>
              <w:rPr>
                <w:rFonts w:ascii="Arial" w:cs="Arial" w:eastAsia="Arial" w:hAnsi="Arial"/>
                <w:sz w:val="18"/>
                <w:szCs w:val="18"/>
                <w:color w:val="auto"/>
              </w:rPr>
              <w:t>Item 9.</w:t>
            </w:r>
          </w:p>
        </w:tc>
        <w:tc>
          <w:tcPr>
            <w:tcW w:w="3340" w:type="dxa"/>
            <w:vAlign w:val="bottom"/>
            <w:tcBorders>
              <w:top w:val="single" w:sz="8" w:color="0563C1"/>
            </w:tcBorders>
            <w:gridSpan w:val="12"/>
          </w:tcPr>
          <w:p>
            <w:pPr>
              <w:spacing w:after="0" w:line="169" w:lineRule="exact"/>
              <w:rPr>
                <w:rFonts w:ascii="Arial" w:cs="Arial" w:eastAsia="Arial" w:hAnsi="Arial"/>
                <w:sz w:val="18"/>
                <w:szCs w:val="18"/>
                <w:color w:val="0563C1"/>
                <w:w w:val="84"/>
              </w:rPr>
            </w:pPr>
            <w:hyperlink w:anchor="page152">
              <w:r>
                <w:rPr>
                  <w:rFonts w:ascii="Arial" w:cs="Arial" w:eastAsia="Arial" w:hAnsi="Arial"/>
                  <w:sz w:val="18"/>
                  <w:szCs w:val="18"/>
                  <w:color w:val="0563C1"/>
                  <w:w w:val="84"/>
                </w:rPr>
                <w:t>Changes in and Disagreements with Accountants</w:t>
              </w:r>
            </w:hyperlink>
          </w:p>
        </w:tc>
        <w:tc>
          <w:tcPr>
            <w:tcW w:w="5960" w:type="dxa"/>
            <w:vAlign w:val="bottom"/>
            <w:gridSpan w:val="9"/>
          </w:tcPr>
          <w:p>
            <w:pPr>
              <w:ind w:left="240"/>
              <w:spacing w:after="0" w:line="169" w:lineRule="exact"/>
              <w:rPr>
                <w:rFonts w:ascii="Arial" w:cs="Arial" w:eastAsia="Arial" w:hAnsi="Arial"/>
                <w:sz w:val="18"/>
                <w:szCs w:val="18"/>
                <w:color w:val="0563C1"/>
              </w:rPr>
            </w:pPr>
            <w:hyperlink w:anchor="page152">
              <w:r>
                <w:rPr>
                  <w:rFonts w:ascii="Arial" w:cs="Arial" w:eastAsia="Arial" w:hAnsi="Arial"/>
                  <w:sz w:val="18"/>
                  <w:szCs w:val="18"/>
                  <w:color w:val="0563C1"/>
                </w:rPr>
                <w:t>on Accounting and Financial Disclosure</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69"/>
        </w:trPr>
        <w:tc>
          <w:tcPr>
            <w:tcW w:w="1160" w:type="dxa"/>
            <w:vAlign w:val="bottom"/>
          </w:tcPr>
          <w:p>
            <w:pPr>
              <w:ind w:left="140"/>
              <w:spacing w:after="0" w:line="169" w:lineRule="exact"/>
              <w:rPr>
                <w:sz w:val="20"/>
                <w:szCs w:val="20"/>
                <w:color w:val="auto"/>
              </w:rPr>
            </w:pPr>
            <w:r>
              <w:rPr>
                <w:rFonts w:ascii="Arial" w:cs="Arial" w:eastAsia="Arial" w:hAnsi="Arial"/>
                <w:sz w:val="18"/>
                <w:szCs w:val="18"/>
                <w:color w:val="auto"/>
              </w:rPr>
              <w:t>Item 9A.</w:t>
            </w:r>
          </w:p>
        </w:tc>
        <w:tc>
          <w:tcPr>
            <w:tcW w:w="6480" w:type="dxa"/>
            <w:vAlign w:val="bottom"/>
            <w:tcBorders>
              <w:top w:val="single" w:sz="8" w:color="0563C1"/>
            </w:tcBorders>
            <w:gridSpan w:val="18"/>
          </w:tcPr>
          <w:p>
            <w:pPr>
              <w:spacing w:after="0" w:line="169" w:lineRule="exact"/>
              <w:rPr>
                <w:rFonts w:ascii="Arial" w:cs="Arial" w:eastAsia="Arial" w:hAnsi="Arial"/>
                <w:sz w:val="18"/>
                <w:szCs w:val="18"/>
                <w:color w:val="0563C1"/>
              </w:rPr>
            </w:pPr>
            <w:hyperlink w:anchor="page152">
              <w:r>
                <w:rPr>
                  <w:rFonts w:ascii="Arial" w:cs="Arial" w:eastAsia="Arial" w:hAnsi="Arial"/>
                  <w:sz w:val="18"/>
                  <w:szCs w:val="18"/>
                  <w:color w:val="0563C1"/>
                </w:rPr>
                <w:t>Controls and Procedures</w:t>
              </w:r>
            </w:hyperlink>
          </w:p>
        </w:tc>
        <w:tc>
          <w:tcPr>
            <w:tcW w:w="820" w:type="dxa"/>
            <w:vAlign w:val="bottom"/>
          </w:tcPr>
          <w:p>
            <w:pPr>
              <w:spacing w:after="0"/>
              <w:rPr>
                <w:sz w:val="14"/>
                <w:szCs w:val="14"/>
                <w:color w:val="auto"/>
              </w:rPr>
            </w:pPr>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69"/>
        </w:trPr>
        <w:tc>
          <w:tcPr>
            <w:tcW w:w="1160" w:type="dxa"/>
            <w:vAlign w:val="bottom"/>
          </w:tcPr>
          <w:p>
            <w:pPr>
              <w:ind w:left="140"/>
              <w:spacing w:after="0" w:line="169" w:lineRule="exact"/>
              <w:rPr>
                <w:sz w:val="20"/>
                <w:szCs w:val="20"/>
                <w:color w:val="auto"/>
              </w:rPr>
            </w:pPr>
            <w:r>
              <w:rPr>
                <w:rFonts w:ascii="Arial" w:cs="Arial" w:eastAsia="Arial" w:hAnsi="Arial"/>
                <w:sz w:val="18"/>
                <w:szCs w:val="18"/>
                <w:color w:val="auto"/>
              </w:rPr>
              <w:t>Item 9B.</w:t>
            </w:r>
          </w:p>
        </w:tc>
        <w:tc>
          <w:tcPr>
            <w:tcW w:w="1780" w:type="dxa"/>
            <w:vAlign w:val="bottom"/>
            <w:tcBorders>
              <w:top w:val="single" w:sz="8" w:color="0563C1"/>
            </w:tcBorders>
            <w:gridSpan w:val="7"/>
          </w:tcPr>
          <w:p>
            <w:pPr>
              <w:spacing w:after="0" w:line="169" w:lineRule="exact"/>
              <w:rPr>
                <w:rFonts w:ascii="Arial" w:cs="Arial" w:eastAsia="Arial" w:hAnsi="Arial"/>
                <w:sz w:val="18"/>
                <w:szCs w:val="18"/>
                <w:color w:val="0563C1"/>
              </w:rPr>
            </w:pPr>
            <w:hyperlink w:anchor="page152">
              <w:r>
                <w:rPr>
                  <w:rFonts w:ascii="Arial" w:cs="Arial" w:eastAsia="Arial" w:hAnsi="Arial"/>
                  <w:sz w:val="18"/>
                  <w:szCs w:val="18"/>
                  <w:color w:val="0563C1"/>
                </w:rPr>
                <w:t>Other Information</w:t>
              </w:r>
            </w:hyperlink>
          </w:p>
        </w:tc>
        <w:tc>
          <w:tcPr>
            <w:tcW w:w="40" w:type="dxa"/>
            <w:vAlign w:val="bottom"/>
          </w:tcPr>
          <w:p>
            <w:pPr>
              <w:spacing w:after="0"/>
              <w:rPr>
                <w:sz w:val="14"/>
                <w:szCs w:val="14"/>
                <w:color w:val="auto"/>
              </w:rPr>
            </w:pPr>
          </w:p>
        </w:tc>
        <w:tc>
          <w:tcPr>
            <w:tcW w:w="10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tcPr>
          <w:p>
            <w:pPr>
              <w:spacing w:after="0"/>
              <w:rPr>
                <w:sz w:val="14"/>
                <w:szCs w:val="14"/>
                <w:color w:val="auto"/>
              </w:rPr>
            </w:pPr>
          </w:p>
        </w:tc>
        <w:tc>
          <w:tcPr>
            <w:tcW w:w="800" w:type="dxa"/>
            <w:vAlign w:val="bottom"/>
            <w:gridSpan w:val="2"/>
          </w:tcPr>
          <w:p>
            <w:pPr>
              <w:spacing w:after="0"/>
              <w:rPr>
                <w:sz w:val="14"/>
                <w:szCs w:val="14"/>
                <w:color w:val="auto"/>
              </w:rPr>
            </w:pPr>
          </w:p>
        </w:tc>
        <w:tc>
          <w:tcPr>
            <w:tcW w:w="560" w:type="dxa"/>
            <w:vAlign w:val="bottom"/>
          </w:tcPr>
          <w:p>
            <w:pPr>
              <w:spacing w:after="0"/>
              <w:rPr>
                <w:sz w:val="14"/>
                <w:szCs w:val="14"/>
                <w:color w:val="auto"/>
              </w:rPr>
            </w:pPr>
          </w:p>
        </w:tc>
        <w:tc>
          <w:tcPr>
            <w:tcW w:w="1840" w:type="dxa"/>
            <w:vAlign w:val="bottom"/>
            <w:gridSpan w:val="3"/>
          </w:tcPr>
          <w:p>
            <w:pPr>
              <w:spacing w:after="0"/>
              <w:rPr>
                <w:sz w:val="14"/>
                <w:szCs w:val="14"/>
                <w:color w:val="auto"/>
              </w:rPr>
            </w:pPr>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1160" w:type="dxa"/>
            <w:vAlign w:val="bottom"/>
            <w:vMerge w:val="restart"/>
          </w:tcPr>
          <w:p>
            <w:pPr>
              <w:ind w:left="160"/>
              <w:spacing w:after="0" w:line="189" w:lineRule="exact"/>
              <w:rPr>
                <w:sz w:val="20"/>
                <w:szCs w:val="20"/>
                <w:color w:val="auto"/>
              </w:rPr>
            </w:pPr>
            <w:r>
              <w:rPr>
                <w:rFonts w:ascii="Arial" w:cs="Arial" w:eastAsia="Arial" w:hAnsi="Arial"/>
                <w:sz w:val="18"/>
                <w:szCs w:val="18"/>
                <w:color w:val="auto"/>
              </w:rPr>
              <w:t>Item 9C.</w:t>
            </w:r>
          </w:p>
        </w:tc>
        <w:tc>
          <w:tcPr>
            <w:tcW w:w="1320" w:type="dxa"/>
            <w:vAlign w:val="bottom"/>
            <w:gridSpan w:val="5"/>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148</w:t>
            </w:r>
          </w:p>
        </w:tc>
        <w:tc>
          <w:tcPr>
            <w:tcW w:w="0" w:type="dxa"/>
            <w:vAlign w:val="bottom"/>
          </w:tcPr>
          <w:p>
            <w:pPr>
              <w:spacing w:after="0" w:line="20" w:lineRule="exact"/>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9300" w:type="dxa"/>
            <w:vAlign w:val="bottom"/>
            <w:gridSpan w:val="21"/>
          </w:tcPr>
          <w:p>
            <w:pPr>
              <w:spacing w:after="0" w:line="169" w:lineRule="exact"/>
              <w:rPr>
                <w:sz w:val="20"/>
                <w:szCs w:val="20"/>
                <w:color w:val="auto"/>
              </w:rPr>
            </w:pPr>
            <w:r>
              <w:rPr>
                <w:rFonts w:ascii="Arial" w:cs="Arial" w:eastAsia="Arial" w:hAnsi="Arial"/>
                <w:sz w:val="18"/>
                <w:szCs w:val="18"/>
                <w:color w:val="0563C1"/>
              </w:rPr>
              <w:t>Disclosure Regarding Foreign Jurisdictions that Prevent Inspections</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82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440" w:type="dxa"/>
            <w:vAlign w:val="bottom"/>
            <w:tcBorders>
              <w:top w:val="single" w:sz="8" w:color="0563C1"/>
            </w:tcBorders>
          </w:tcPr>
          <w:p>
            <w:pPr>
              <w:spacing w:after="0"/>
              <w:rPr>
                <w:sz w:val="24"/>
                <w:szCs w:val="24"/>
                <w:color w:val="auto"/>
              </w:rPr>
            </w:pPr>
          </w:p>
        </w:tc>
        <w:tc>
          <w:tcPr>
            <w:tcW w:w="76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540" w:type="dxa"/>
            <w:vAlign w:val="bottom"/>
            <w:tcBorders>
              <w:top w:val="single" w:sz="8" w:color="0563C1"/>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9300" w:type="dxa"/>
            <w:vAlign w:val="bottom"/>
            <w:gridSpan w:val="21"/>
          </w:tcPr>
          <w:p>
            <w:pPr>
              <w:spacing w:after="0" w:line="190" w:lineRule="exact"/>
              <w:rPr>
                <w:rFonts w:ascii="Arial" w:cs="Arial" w:eastAsia="Arial" w:hAnsi="Arial"/>
                <w:sz w:val="18"/>
                <w:szCs w:val="18"/>
                <w:color w:val="0563C1"/>
              </w:rPr>
            </w:pPr>
            <w:hyperlink w:anchor="page154">
              <w:r>
                <w:rPr>
                  <w:rFonts w:ascii="Arial" w:cs="Arial" w:eastAsia="Arial" w:hAnsi="Arial"/>
                  <w:sz w:val="18"/>
                  <w:szCs w:val="18"/>
                  <w:color w:val="0563C1"/>
                </w:rPr>
                <w:t>Directors, Executive Officers and Corporate Governance</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69"/>
        </w:trPr>
        <w:tc>
          <w:tcPr>
            <w:tcW w:w="1160" w:type="dxa"/>
            <w:vAlign w:val="bottom"/>
          </w:tcPr>
          <w:p>
            <w:pPr>
              <w:ind w:left="140"/>
              <w:spacing w:after="0" w:line="169" w:lineRule="exact"/>
              <w:rPr>
                <w:sz w:val="20"/>
                <w:szCs w:val="20"/>
                <w:color w:val="auto"/>
              </w:rPr>
            </w:pPr>
            <w:r>
              <w:rPr>
                <w:rFonts w:ascii="Arial" w:cs="Arial" w:eastAsia="Arial" w:hAnsi="Arial"/>
                <w:sz w:val="18"/>
                <w:szCs w:val="18"/>
                <w:color w:val="auto"/>
              </w:rPr>
              <w:t>Item 11.</w:t>
            </w:r>
          </w:p>
        </w:tc>
        <w:tc>
          <w:tcPr>
            <w:tcW w:w="4100" w:type="dxa"/>
            <w:vAlign w:val="bottom"/>
            <w:tcBorders>
              <w:top w:val="single" w:sz="8" w:color="0563C1"/>
            </w:tcBorders>
            <w:gridSpan w:val="13"/>
          </w:tcPr>
          <w:p>
            <w:pPr>
              <w:spacing w:after="0" w:line="169" w:lineRule="exact"/>
              <w:rPr>
                <w:rFonts w:ascii="Arial" w:cs="Arial" w:eastAsia="Arial" w:hAnsi="Arial"/>
                <w:sz w:val="18"/>
                <w:szCs w:val="18"/>
                <w:color w:val="0563C1"/>
              </w:rPr>
            </w:pPr>
            <w:hyperlink w:anchor="page154">
              <w:r>
                <w:rPr>
                  <w:rFonts w:ascii="Arial" w:cs="Arial" w:eastAsia="Arial" w:hAnsi="Arial"/>
                  <w:sz w:val="18"/>
                  <w:szCs w:val="18"/>
                  <w:color w:val="0563C1"/>
                </w:rPr>
                <w:t>Executive Compensation</w:t>
              </w:r>
            </w:hyperlink>
          </w:p>
        </w:tc>
        <w:tc>
          <w:tcPr>
            <w:tcW w:w="1360" w:type="dxa"/>
            <w:vAlign w:val="bottom"/>
            <w:gridSpan w:val="3"/>
          </w:tcPr>
          <w:p>
            <w:pPr>
              <w:spacing w:after="0"/>
              <w:rPr>
                <w:sz w:val="14"/>
                <w:szCs w:val="14"/>
                <w:color w:val="auto"/>
              </w:rPr>
            </w:pPr>
          </w:p>
        </w:tc>
        <w:tc>
          <w:tcPr>
            <w:tcW w:w="1840" w:type="dxa"/>
            <w:vAlign w:val="bottom"/>
            <w:gridSpan w:val="3"/>
          </w:tcPr>
          <w:p>
            <w:pPr>
              <w:spacing w:after="0"/>
              <w:rPr>
                <w:sz w:val="14"/>
                <w:szCs w:val="14"/>
                <w:color w:val="auto"/>
              </w:rPr>
            </w:pPr>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69"/>
        </w:trPr>
        <w:tc>
          <w:tcPr>
            <w:tcW w:w="1160" w:type="dxa"/>
            <w:vAlign w:val="bottom"/>
          </w:tcPr>
          <w:p>
            <w:pPr>
              <w:ind w:left="140"/>
              <w:spacing w:after="0" w:line="169" w:lineRule="exact"/>
              <w:rPr>
                <w:sz w:val="20"/>
                <w:szCs w:val="20"/>
                <w:color w:val="auto"/>
              </w:rPr>
            </w:pPr>
            <w:r>
              <w:rPr>
                <w:rFonts w:ascii="Arial" w:cs="Arial" w:eastAsia="Arial" w:hAnsi="Arial"/>
                <w:sz w:val="18"/>
                <w:szCs w:val="18"/>
                <w:color w:val="auto"/>
              </w:rPr>
              <w:t>Item 12.</w:t>
            </w:r>
          </w:p>
        </w:tc>
        <w:tc>
          <w:tcPr>
            <w:tcW w:w="1820" w:type="dxa"/>
            <w:vAlign w:val="bottom"/>
            <w:tcBorders>
              <w:top w:val="single" w:sz="8" w:color="0563C1"/>
            </w:tcBorders>
            <w:gridSpan w:val="8"/>
          </w:tcPr>
          <w:p>
            <w:pPr>
              <w:spacing w:after="0" w:line="169" w:lineRule="exact"/>
              <w:rPr>
                <w:rFonts w:ascii="Arial" w:cs="Arial" w:eastAsia="Arial" w:hAnsi="Arial"/>
                <w:sz w:val="18"/>
                <w:szCs w:val="18"/>
                <w:color w:val="0563C1"/>
              </w:rPr>
            </w:pPr>
            <w:hyperlink w:anchor="page154">
              <w:r>
                <w:rPr>
                  <w:rFonts w:ascii="Arial" w:cs="Arial" w:eastAsia="Arial" w:hAnsi="Arial"/>
                  <w:sz w:val="18"/>
                  <w:szCs w:val="18"/>
                  <w:color w:val="0563C1"/>
                </w:rPr>
                <w:t>Security Ownership of</w:t>
              </w:r>
            </w:hyperlink>
          </w:p>
        </w:tc>
        <w:tc>
          <w:tcPr>
            <w:tcW w:w="7480" w:type="dxa"/>
            <w:vAlign w:val="bottom"/>
            <w:gridSpan w:val="13"/>
          </w:tcPr>
          <w:p>
            <w:pPr>
              <w:spacing w:after="0" w:line="169" w:lineRule="exact"/>
              <w:rPr>
                <w:rFonts w:ascii="Arial" w:cs="Arial" w:eastAsia="Arial" w:hAnsi="Arial"/>
                <w:sz w:val="18"/>
                <w:szCs w:val="18"/>
                <w:color w:val="0563C1"/>
              </w:rPr>
            </w:pPr>
            <w:hyperlink w:anchor="page154">
              <w:r>
                <w:rPr>
                  <w:rFonts w:ascii="Arial" w:cs="Arial" w:eastAsia="Arial" w:hAnsi="Arial"/>
                  <w:sz w:val="18"/>
                  <w:szCs w:val="18"/>
                  <w:color w:val="0563C1"/>
                </w:rPr>
                <w:t>Certain Beneficial Owners and Management and Related Stockholder Matters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69"/>
        </w:trPr>
        <w:tc>
          <w:tcPr>
            <w:tcW w:w="1160" w:type="dxa"/>
            <w:vAlign w:val="bottom"/>
          </w:tcPr>
          <w:p>
            <w:pPr>
              <w:ind w:left="140"/>
              <w:spacing w:after="0" w:line="169" w:lineRule="exact"/>
              <w:rPr>
                <w:sz w:val="20"/>
                <w:szCs w:val="20"/>
                <w:color w:val="auto"/>
              </w:rPr>
            </w:pPr>
            <w:r>
              <w:rPr>
                <w:rFonts w:ascii="Arial" w:cs="Arial" w:eastAsia="Arial" w:hAnsi="Arial"/>
                <w:sz w:val="18"/>
                <w:szCs w:val="18"/>
                <w:color w:val="auto"/>
              </w:rPr>
              <w:t>Item 13.</w:t>
            </w:r>
          </w:p>
        </w:tc>
        <w:tc>
          <w:tcPr>
            <w:tcW w:w="7300" w:type="dxa"/>
            <w:vAlign w:val="bottom"/>
            <w:tcBorders>
              <w:top w:val="single" w:sz="8" w:color="0563C1"/>
            </w:tcBorders>
            <w:gridSpan w:val="19"/>
          </w:tcPr>
          <w:p>
            <w:pPr>
              <w:spacing w:after="0" w:line="169" w:lineRule="exact"/>
              <w:rPr>
                <w:rFonts w:ascii="Arial" w:cs="Arial" w:eastAsia="Arial" w:hAnsi="Arial"/>
                <w:sz w:val="18"/>
                <w:szCs w:val="18"/>
                <w:color w:val="0563C1"/>
              </w:rPr>
            </w:pPr>
            <w:hyperlink w:anchor="page154">
              <w:r>
                <w:rPr>
                  <w:rFonts w:ascii="Arial" w:cs="Arial" w:eastAsia="Arial" w:hAnsi="Arial"/>
                  <w:sz w:val="18"/>
                  <w:szCs w:val="18"/>
                  <w:color w:val="0563C1"/>
                </w:rPr>
                <w:t>Certain Relationships and Related Transactions, and Director Independence</w:t>
              </w:r>
            </w:hyperlink>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69"/>
        </w:trPr>
        <w:tc>
          <w:tcPr>
            <w:tcW w:w="1160" w:type="dxa"/>
            <w:vAlign w:val="bottom"/>
          </w:tcPr>
          <w:p>
            <w:pPr>
              <w:ind w:left="140"/>
              <w:spacing w:after="0" w:line="169" w:lineRule="exact"/>
              <w:rPr>
                <w:sz w:val="20"/>
                <w:szCs w:val="20"/>
                <w:color w:val="auto"/>
              </w:rPr>
            </w:pPr>
            <w:r>
              <w:rPr>
                <w:rFonts w:ascii="Arial" w:cs="Arial" w:eastAsia="Arial" w:hAnsi="Arial"/>
                <w:sz w:val="18"/>
                <w:szCs w:val="18"/>
                <w:color w:val="auto"/>
              </w:rPr>
              <w:t>Item 14.</w:t>
            </w:r>
          </w:p>
        </w:tc>
        <w:tc>
          <w:tcPr>
            <w:tcW w:w="5460" w:type="dxa"/>
            <w:vAlign w:val="bottom"/>
            <w:tcBorders>
              <w:top w:val="single" w:sz="8" w:color="0563C1"/>
            </w:tcBorders>
            <w:gridSpan w:val="16"/>
          </w:tcPr>
          <w:p>
            <w:pPr>
              <w:spacing w:after="0" w:line="169" w:lineRule="exact"/>
              <w:rPr>
                <w:rFonts w:ascii="Arial" w:cs="Arial" w:eastAsia="Arial" w:hAnsi="Arial"/>
                <w:sz w:val="18"/>
                <w:szCs w:val="18"/>
                <w:color w:val="0563C1"/>
              </w:rPr>
            </w:pPr>
            <w:hyperlink w:anchor="page154">
              <w:r>
                <w:rPr>
                  <w:rFonts w:ascii="Arial" w:cs="Arial" w:eastAsia="Arial" w:hAnsi="Arial"/>
                  <w:sz w:val="18"/>
                  <w:szCs w:val="18"/>
                  <w:color w:val="0563C1"/>
                </w:rPr>
                <w:t>Principal Accounting Fees and Services</w:t>
              </w:r>
            </w:hyperlink>
          </w:p>
        </w:tc>
        <w:tc>
          <w:tcPr>
            <w:tcW w:w="3840" w:type="dxa"/>
            <w:vAlign w:val="bottom"/>
            <w:gridSpan w:val="5"/>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357"/>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820" w:type="dxa"/>
            <w:vAlign w:val="bottom"/>
            <w:tcBorders>
              <w:top w:val="single" w:sz="8" w:color="0563C1"/>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9300" w:type="dxa"/>
            <w:vAlign w:val="bottom"/>
            <w:gridSpan w:val="21"/>
          </w:tcPr>
          <w:p>
            <w:pPr>
              <w:spacing w:after="0" w:line="190" w:lineRule="exact"/>
              <w:rPr>
                <w:rFonts w:ascii="Arial" w:cs="Arial" w:eastAsia="Arial" w:hAnsi="Arial"/>
                <w:sz w:val="18"/>
                <w:szCs w:val="18"/>
                <w:color w:val="0563C1"/>
              </w:rPr>
            </w:pPr>
            <w:hyperlink w:anchor="page155">
              <w:r>
                <w:rPr>
                  <w:rFonts w:ascii="Arial" w:cs="Arial" w:eastAsia="Arial" w:hAnsi="Arial"/>
                  <w:sz w:val="18"/>
                  <w:szCs w:val="18"/>
                  <w:color w:val="0563C1"/>
                </w:rPr>
                <w:t>Exhibits, Financial Statement Schedules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69"/>
        </w:trPr>
        <w:tc>
          <w:tcPr>
            <w:tcW w:w="1160" w:type="dxa"/>
            <w:vAlign w:val="bottom"/>
          </w:tcPr>
          <w:p>
            <w:pPr>
              <w:ind w:left="140"/>
              <w:spacing w:after="0" w:line="169" w:lineRule="exact"/>
              <w:rPr>
                <w:sz w:val="20"/>
                <w:szCs w:val="20"/>
                <w:color w:val="auto"/>
              </w:rPr>
            </w:pPr>
            <w:r>
              <w:rPr>
                <w:rFonts w:ascii="Arial" w:cs="Arial" w:eastAsia="Arial" w:hAnsi="Arial"/>
                <w:sz w:val="18"/>
                <w:szCs w:val="18"/>
                <w:color w:val="auto"/>
              </w:rPr>
              <w:t>Item 16</w:t>
            </w:r>
          </w:p>
        </w:tc>
        <w:tc>
          <w:tcPr>
            <w:tcW w:w="2900" w:type="dxa"/>
            <w:vAlign w:val="bottom"/>
            <w:tcBorders>
              <w:top w:val="single" w:sz="8" w:color="0563C1"/>
            </w:tcBorders>
            <w:gridSpan w:val="11"/>
          </w:tcPr>
          <w:p>
            <w:pPr>
              <w:spacing w:after="0" w:line="169" w:lineRule="exact"/>
              <w:rPr>
                <w:rFonts w:ascii="Arial" w:cs="Arial" w:eastAsia="Arial" w:hAnsi="Arial"/>
                <w:sz w:val="18"/>
                <w:szCs w:val="18"/>
                <w:color w:val="0563C1"/>
              </w:rPr>
            </w:pPr>
            <w:hyperlink w:anchor="page155">
              <w:r>
                <w:rPr>
                  <w:rFonts w:ascii="Arial" w:cs="Arial" w:eastAsia="Arial" w:hAnsi="Arial"/>
                  <w:sz w:val="18"/>
                  <w:szCs w:val="18"/>
                  <w:color w:val="0563C1"/>
                </w:rPr>
                <w:t>Form 10-K Summary</w:t>
              </w:r>
            </w:hyperlink>
          </w:p>
        </w:tc>
        <w:tc>
          <w:tcPr>
            <w:tcW w:w="6400" w:type="dxa"/>
            <w:vAlign w:val="bottom"/>
            <w:gridSpan w:val="10"/>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527"/>
        </w:trPr>
        <w:tc>
          <w:tcPr>
            <w:tcW w:w="1160" w:type="dxa"/>
            <w:vAlign w:val="bottom"/>
            <w:tcBorders>
              <w:bottom w:val="single" w:sz="8" w:color="9A9A9A"/>
            </w:tcBorders>
          </w:tcPr>
          <w:p>
            <w:pPr>
              <w:spacing w:after="0"/>
              <w:rPr>
                <w:sz w:val="24"/>
                <w:szCs w:val="24"/>
                <w:color w:val="auto"/>
              </w:rPr>
            </w:pPr>
          </w:p>
        </w:tc>
        <w:tc>
          <w:tcPr>
            <w:tcW w:w="640" w:type="dxa"/>
            <w:vAlign w:val="bottom"/>
            <w:tcBorders>
              <w:top w:val="single" w:sz="8" w:color="0563C1"/>
              <w:bottom w:val="single" w:sz="8" w:color="9A9A9A"/>
            </w:tcBorders>
          </w:tcPr>
          <w:p>
            <w:pPr>
              <w:spacing w:after="0"/>
              <w:rPr>
                <w:sz w:val="24"/>
                <w:szCs w:val="24"/>
                <w:color w:val="auto"/>
              </w:rPr>
            </w:pPr>
          </w:p>
        </w:tc>
        <w:tc>
          <w:tcPr>
            <w:tcW w:w="100" w:type="dxa"/>
            <w:vAlign w:val="bottom"/>
            <w:tcBorders>
              <w:top w:val="single" w:sz="8" w:color="0563C1"/>
              <w:bottom w:val="single" w:sz="8" w:color="9A9A9A"/>
            </w:tcBorders>
          </w:tcPr>
          <w:p>
            <w:pPr>
              <w:spacing w:after="0"/>
              <w:rPr>
                <w:sz w:val="24"/>
                <w:szCs w:val="24"/>
                <w:color w:val="auto"/>
              </w:rPr>
            </w:pPr>
          </w:p>
        </w:tc>
        <w:tc>
          <w:tcPr>
            <w:tcW w:w="60" w:type="dxa"/>
            <w:vAlign w:val="bottom"/>
            <w:tcBorders>
              <w:top w:val="single" w:sz="8" w:color="0563C1"/>
              <w:bottom w:val="single" w:sz="8" w:color="9A9A9A"/>
            </w:tcBorders>
          </w:tcPr>
          <w:p>
            <w:pPr>
              <w:spacing w:after="0"/>
              <w:rPr>
                <w:sz w:val="24"/>
                <w:szCs w:val="24"/>
                <w:color w:val="auto"/>
              </w:rPr>
            </w:pPr>
          </w:p>
        </w:tc>
        <w:tc>
          <w:tcPr>
            <w:tcW w:w="120" w:type="dxa"/>
            <w:vAlign w:val="bottom"/>
            <w:tcBorders>
              <w:top w:val="single" w:sz="8" w:color="0563C1"/>
              <w:bottom w:val="single" w:sz="8" w:color="9A9A9A"/>
            </w:tcBorders>
          </w:tcPr>
          <w:p>
            <w:pPr>
              <w:spacing w:after="0"/>
              <w:rPr>
                <w:sz w:val="24"/>
                <w:szCs w:val="24"/>
                <w:color w:val="auto"/>
              </w:rPr>
            </w:pPr>
          </w:p>
        </w:tc>
        <w:tc>
          <w:tcPr>
            <w:tcW w:w="400" w:type="dxa"/>
            <w:vAlign w:val="bottom"/>
            <w:tcBorders>
              <w:top w:val="single" w:sz="8" w:color="0563C1"/>
              <w:bottom w:val="single" w:sz="8" w:color="9A9A9A"/>
            </w:tcBorders>
          </w:tcPr>
          <w:p>
            <w:pPr>
              <w:spacing w:after="0"/>
              <w:rPr>
                <w:sz w:val="24"/>
                <w:szCs w:val="24"/>
                <w:color w:val="auto"/>
              </w:rPr>
            </w:pPr>
          </w:p>
        </w:tc>
        <w:tc>
          <w:tcPr>
            <w:tcW w:w="240" w:type="dxa"/>
            <w:vAlign w:val="bottom"/>
            <w:tcBorders>
              <w:top w:val="single" w:sz="8" w:color="0563C1"/>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6"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This Annual Report on Form 10-K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59"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80" w:lineRule="exact"/>
        <w:rPr>
          <w:sz w:val="20"/>
          <w:szCs w:val="20"/>
          <w:color w:val="auto"/>
        </w:rPr>
      </w:pPr>
    </w:p>
    <w:p>
      <w:pPr>
        <w:ind w:left="1020" w:right="46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progress, results and costs of developing our drug candidates or any other future drug candidates, and conducting nonclinical studies and clinical trials, including our ALG-020572, ALG-000184 and ALG-055009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progress, results and costs related to the research and development of our pipeline;</w:t>
      </w:r>
    </w:p>
    <w:p>
      <w:pPr>
        <w:spacing w:after="0" w:line="103"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costs involved in, obtaining and maintaining regulatory approval for any of our current or future drug candidates, and any related restrictions or limitations;</w:t>
      </w:r>
    </w:p>
    <w:p>
      <w:pPr>
        <w:spacing w:after="0" w:line="62" w:lineRule="exact"/>
        <w:rPr>
          <w:rFonts w:ascii="Arial" w:cs="Arial" w:eastAsia="Arial" w:hAnsi="Arial"/>
          <w:sz w:val="18"/>
          <w:szCs w:val="18"/>
          <w:color w:val="auto"/>
        </w:rPr>
      </w:pPr>
    </w:p>
    <w:p>
      <w:pPr>
        <w:ind w:left="1020" w:right="76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developments related to COVID-19 on our business and operations, including clinical trials, manufacturing suppliers, collaborators, use of contract research organizations and employees;</w:t>
      </w:r>
    </w:p>
    <w:p>
      <w:pPr>
        <w:spacing w:after="0" w:line="62"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size of the potential patient populations for ALG-020572, ALG-000184 and ALG-055009, our other drug candidates and any future drug candidates, if approved for commercial use;</w:t>
      </w:r>
    </w:p>
    <w:p>
      <w:pPr>
        <w:spacing w:after="0" w:line="62" w:lineRule="exact"/>
        <w:rPr>
          <w:rFonts w:ascii="Arial" w:cs="Arial" w:eastAsia="Arial" w:hAnsi="Arial"/>
          <w:sz w:val="18"/>
          <w:szCs w:val="18"/>
          <w:color w:val="auto"/>
        </w:rPr>
      </w:pPr>
    </w:p>
    <w:p>
      <w:pPr>
        <w:ind w:left="1020" w:right="60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and establish new, collaborations, licensing or other arrangements and the financial terms of any such agreements;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expectations;</w:t>
      </w:r>
    </w:p>
    <w:p>
      <w:pPr>
        <w:spacing w:after="0" w:line="103" w:lineRule="exact"/>
        <w:rPr>
          <w:rFonts w:ascii="Arial" w:cs="Arial" w:eastAsia="Arial" w:hAnsi="Arial"/>
          <w:sz w:val="18"/>
          <w:szCs w:val="18"/>
          <w:color w:val="auto"/>
        </w:rPr>
      </w:pPr>
    </w:p>
    <w:p>
      <w:pPr>
        <w:ind w:left="1020" w:right="7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drug candidates, as well as the pricing and reimbursement of our drug candidates, if approved;</w:t>
      </w:r>
    </w:p>
    <w:p>
      <w:pPr>
        <w:spacing w:after="0" w:line="62" w:lineRule="exact"/>
        <w:rPr>
          <w:rFonts w:ascii="Arial" w:cs="Arial" w:eastAsia="Arial" w:hAnsi="Arial"/>
          <w:sz w:val="18"/>
          <w:szCs w:val="18"/>
          <w:color w:val="auto"/>
        </w:rPr>
      </w:pPr>
    </w:p>
    <w:p>
      <w:pPr>
        <w:ind w:left="1020" w:right="7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drug candidates and technology, including additional indications for which we may pursue;</w:t>
      </w:r>
    </w:p>
    <w:p>
      <w:pPr>
        <w:spacing w:after="0" w:line="62"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including the projected term of patent protection;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estimates of our expenses, future revenue, capital requirements, our needs for additional financing and our ability to obtain additional capital;</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including competing therapies and procedures;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and legal developments in the United States and foreign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management, scientific and medical personnel;</w:t>
      </w:r>
    </w:p>
    <w:p>
      <w:pPr>
        <w:spacing w:after="0" w:line="103" w:lineRule="exact"/>
        <w:rPr>
          <w:rFonts w:ascii="Arial" w:cs="Arial" w:eastAsia="Arial" w:hAnsi="Arial"/>
          <w:sz w:val="18"/>
          <w:szCs w:val="18"/>
          <w:color w:val="auto"/>
        </w:rPr>
      </w:pPr>
    </w:p>
    <w:p>
      <w:pPr>
        <w:ind w:left="1020" w:right="5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our ability to obtain, maintain, enforce and defend our intellectual property protection for our drug candidates;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have based these forward-looking statements largely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These forward-looking statements speak only as of the date of this Annual Report on Form 10-K and are subject to a number of risks, uncertainties and assumptions described in the section titled “Risk Factors”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Annual Report on Form 10-K, whether as a result of any new information, future events or otherwise.</w:t>
      </w:r>
    </w:p>
    <w:p>
      <w:pPr>
        <w:spacing w:after="0" w:line="16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55"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Investors and others should note that we may announce material business and financial information to our investors using our investor relations website, Securities and Exchange Commission, or SEC, filings, webcasts, press releases and conference calls. We use these mediums, including our website, to communicate with our stockholders and public about our company, our products and other issues. It is possible that the information that we make available may be deemed to be material information. We therefore encourage investors and others interested in our company to review the information that we make available on our website.</w:t>
      </w:r>
    </w:p>
    <w:p>
      <w:pPr>
        <w:spacing w:after="0" w:line="18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Summary of material risks associated with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risks and uncertainties affecting our business include the following:</w:t>
      </w:r>
    </w:p>
    <w:p>
      <w:pPr>
        <w:spacing w:after="0" w:line="104" w:lineRule="exact"/>
        <w:rPr>
          <w:sz w:val="20"/>
          <w:szCs w:val="20"/>
          <w:color w:val="auto"/>
        </w:rPr>
      </w:pPr>
    </w:p>
    <w:p>
      <w:pPr>
        <w:ind w:left="1020" w:right="80" w:hanging="503"/>
        <w:spacing w:after="0" w:line="270"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55" w:lineRule="exact"/>
        <w:rPr>
          <w:rFonts w:ascii="Arial" w:cs="Arial" w:eastAsia="Arial" w:hAnsi="Arial"/>
          <w:sz w:val="17"/>
          <w:szCs w:val="17"/>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never generated revenue from product sales and may never be profitable.</w:t>
      </w:r>
    </w:p>
    <w:p>
      <w:pPr>
        <w:spacing w:after="0" w:line="103" w:lineRule="exact"/>
        <w:rPr>
          <w:rFonts w:ascii="Arial" w:cs="Arial" w:eastAsia="Arial" w:hAnsi="Arial"/>
          <w:sz w:val="18"/>
          <w:szCs w:val="18"/>
          <w:color w:val="auto"/>
        </w:rPr>
      </w:pPr>
    </w:p>
    <w:p>
      <w:pPr>
        <w:jc w:val="both"/>
        <w:ind w:left="1020" w:right="160" w:hanging="503"/>
        <w:spacing w:after="0" w:line="248"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73" w:lineRule="exact"/>
        <w:rPr>
          <w:rFonts w:ascii="Arial" w:cs="Arial" w:eastAsia="Arial" w:hAnsi="Arial"/>
          <w:sz w:val="18"/>
          <w:szCs w:val="18"/>
          <w:color w:val="auto"/>
        </w:rPr>
      </w:pPr>
    </w:p>
    <w:p>
      <w:pPr>
        <w:ind w:left="1020" w:right="20" w:hanging="503"/>
        <w:spacing w:after="0" w:line="294"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39" w:lineRule="exact"/>
        <w:rPr>
          <w:rFonts w:ascii="Arial" w:cs="Arial" w:eastAsia="Arial" w:hAnsi="Arial"/>
          <w:sz w:val="16"/>
          <w:szCs w:val="16"/>
          <w:color w:val="auto"/>
        </w:rPr>
      </w:pPr>
    </w:p>
    <w:p>
      <w:pPr>
        <w:jc w:val="both"/>
        <w:ind w:left="1020" w:right="240" w:hanging="503"/>
        <w:spacing w:after="0" w:line="248"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73" w:lineRule="exact"/>
        <w:rPr>
          <w:rFonts w:ascii="Arial" w:cs="Arial" w:eastAsia="Arial" w:hAnsi="Arial"/>
          <w:sz w:val="18"/>
          <w:szCs w:val="18"/>
          <w:color w:val="auto"/>
        </w:rPr>
      </w:pPr>
    </w:p>
    <w:p>
      <w:pPr>
        <w:ind w:left="1020" w:right="40" w:hanging="503"/>
        <w:spacing w:after="0" w:line="270"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55" w:lineRule="exact"/>
        <w:rPr>
          <w:rFonts w:ascii="Arial" w:cs="Arial" w:eastAsia="Arial" w:hAnsi="Arial"/>
          <w:sz w:val="17"/>
          <w:szCs w:val="17"/>
          <w:color w:val="auto"/>
        </w:rPr>
      </w:pPr>
    </w:p>
    <w:p>
      <w:pPr>
        <w:ind w:left="1020" w:right="22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intend to develop our current drug candidates, and expect to develop other future drug candidates, in combination with other therapies, which exposes us to additional risks.</w:t>
      </w:r>
    </w:p>
    <w:p>
      <w:pPr>
        <w:spacing w:after="0" w:line="62"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and our collaborators are unable to obtain, maintain, protect and enforce sufficient patent and other intellectual property protection for our drug candidates and technology, our competitors could develop and commercialize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 w:name="page5"/>
    <w:bookmarkEnd w:id="4"/>
    <w:p>
      <w:pPr>
        <w:ind w:left="1020" w:right="140"/>
        <w:spacing w:after="0" w:line="261" w:lineRule="auto"/>
        <w:rPr>
          <w:sz w:val="20"/>
          <w:szCs w:val="20"/>
          <w:color w:val="auto"/>
        </w:rPr>
      </w:pPr>
      <w:r>
        <w:rPr>
          <w:rFonts w:ascii="Arial" w:cs="Arial" w:eastAsia="Arial" w:hAnsi="Arial"/>
          <w:sz w:val="18"/>
          <w:szCs w:val="18"/>
          <w:color w:val="auto"/>
        </w:rPr>
        <w:t>and technology similar or identical to ours, and we may not be able to compete effectively in our market or successfully commercialize any drug candidates we may develop.</w:t>
      </w:r>
    </w:p>
    <w:p>
      <w:pPr>
        <w:spacing w:after="0" w:line="63" w:lineRule="exact"/>
        <w:rPr>
          <w:sz w:val="20"/>
          <w:szCs w:val="20"/>
          <w:color w:val="auto"/>
        </w:rPr>
      </w:pPr>
    </w:p>
    <w:p>
      <w:pPr>
        <w:ind w:left="1020" w:hanging="503"/>
        <w:spacing w:after="0" w:line="26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62" w:lineRule="exact"/>
        <w:rPr>
          <w:rFonts w:ascii="Arial" w:cs="Arial" w:eastAsia="Arial" w:hAnsi="Arial"/>
          <w:sz w:val="18"/>
          <w:szCs w:val="18"/>
          <w:color w:val="auto"/>
        </w:rPr>
      </w:pPr>
    </w:p>
    <w:p>
      <w:pPr>
        <w:ind w:left="1020" w:right="180" w:hanging="503"/>
        <w:spacing w:after="0" w:line="24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79"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171"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The summary risk factors described above should be read together with the text of the full risk factors below in the section entitled “Risk Factors” and the other information set forth in this Annual Report on Form 10-K,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104" w:lineRule="exact"/>
        <w:rPr>
          <w:sz w:val="20"/>
          <w:szCs w:val="20"/>
          <w:color w:val="auto"/>
        </w:rPr>
      </w:pPr>
    </w:p>
    <w:p>
      <w:pPr>
        <w:ind w:right="60" w:firstLine="509"/>
        <w:spacing w:after="0" w:line="270" w:lineRule="auto"/>
        <w:rPr>
          <w:sz w:val="20"/>
          <w:szCs w:val="20"/>
          <w:color w:val="auto"/>
        </w:rPr>
      </w:pPr>
      <w:r>
        <w:rPr>
          <w:rFonts w:ascii="Arial" w:cs="Arial" w:eastAsia="Arial" w:hAnsi="Arial"/>
          <w:sz w:val="16"/>
          <w:szCs w:val="16"/>
          <w:color w:val="auto"/>
        </w:rPr>
        <w:t>We are a clinical-stage biopharmaceutical company focused on developing novel therapeutics to address unmet medical needs in viral and liver diseases. We utilize our proprietary oligonucleotide and small molecule platforms to develop pharmacologically optimized drug candidates for use in combination regimens designed to achieve improved treatment outcomes. Our lead effort is to develop a functional cure for Chronic Hepatitis B (CHB), which often results in life-threatening conditions such as cirrhosis, end-stage liver disease (ESLD) and the most common form of liver cancer, hepatocellular carcinoma (HCC). The most widely used treatment for CHB, nucleos(t)ide analogs, suppresses viral replication but only achieves low rates of functional cure and often requires long-term administration. To address this issue, we have developed a portfolio of differentiated drug candidates for CHB, including a small molecule Capsid Assembly Modulator (CAM) and oligonucleotides (Antisense Oligonucleotides (ASO) and Small Interfering Ribonucleic Acids (siRNA)), each of which is designed against clinically validated targets in the Hepatitis B Virus (HBV) life cycle. We are also exploring approaches towards boosting immune response with the use of small molecule antagonists of the PD1/PD-L1 interaction. We believe that combination regimens utilizing our portfolio of CHB drug candidates may lead to higher rates of functional cure.</w:t>
      </w:r>
    </w:p>
    <w:p>
      <w:pPr>
        <w:spacing w:after="0" w:line="63"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Initial Phase 1a studies in healthy volunteers (HVs) for our CAM and ASO drug candidates have been completed and Phase 1b dose range studies evaluating the safety, pharmacokinetics and antiviral activity of these drugs in CHB patients are ongoing. For the CAM drug candidate, ALG-000184, preliminary data as of January 28, 2022, in both HVs and CHB subjects indicate the drug has a predictable, dose proportional pharmacokinetic (PK) profile and was well tolerated after up to 28 days of oral daily dosing. Specifically, one unrelated serious adverse event (SAE) (hospitalization for management of pre-existing back pain) and no treatment emergent adverse events (TEAEs) leading to discontinuation have been reported and no concerning TEAEs, laboratory abnormalities, or other safety assessments have been identified by the study’s safety committee. Preliminary antiviral activity data through completion of dosing (i.e., 28 days) are available in cohorts of Hepatitis B E-antigen (HBeAg) negative subjects (100 mg (Cohort 1) and 50 mg (Cohort 2)) and HBeAg positive subjects (100 mg (Cohort 4)). ALG-000184 was observed to have similar levels of activity at 50-100 mg doses in Cohorts 1-2, where both doses achieved HBV DNA and HBV RNA reductions of approximately 3-4 log</w:t>
      </w:r>
      <w:r>
        <w:rPr>
          <w:rFonts w:ascii="Arial" w:cs="Arial" w:eastAsia="Arial" w:hAnsi="Arial"/>
          <w:sz w:val="11"/>
          <w:szCs w:val="11"/>
          <w:color w:val="auto"/>
        </w:rPr>
        <w:t>10</w:t>
      </w:r>
      <w:r>
        <w:rPr>
          <w:rFonts w:ascii="Arial" w:cs="Arial" w:eastAsia="Arial" w:hAnsi="Arial"/>
          <w:sz w:val="16"/>
          <w:szCs w:val="16"/>
          <w:color w:val="auto"/>
        </w:rPr>
        <w:t xml:space="preserve"> IU/mL and approximately 1.5-2 log</w:t>
      </w:r>
      <w:r>
        <w:rPr>
          <w:rFonts w:ascii="Arial" w:cs="Arial" w:eastAsia="Arial" w:hAnsi="Arial"/>
          <w:sz w:val="11"/>
          <w:szCs w:val="11"/>
          <w:color w:val="auto"/>
        </w:rPr>
        <w:t>10</w:t>
      </w:r>
      <w:r>
        <w:rPr>
          <w:rFonts w:ascii="Arial" w:cs="Arial" w:eastAsia="Arial" w:hAnsi="Arial"/>
          <w:sz w:val="16"/>
          <w:szCs w:val="16"/>
          <w:color w:val="auto"/>
        </w:rPr>
        <w:t xml:space="preserve"> copies/mL, respectively. In both of these cohorts, HBV DNA and HBV RNA levels fell below the lower limit of quantitation (LLOQ) in ≥75% and 100% of subjects, respectively. In Cohort 4 (HBeAg positive subjects receiving 100 mg ALG-000184), HBV DNA and HBV RNA declined by &gt;4 log</w:t>
      </w:r>
      <w:r>
        <w:rPr>
          <w:rFonts w:ascii="Arial" w:cs="Arial" w:eastAsia="Arial" w:hAnsi="Arial"/>
          <w:sz w:val="11"/>
          <w:szCs w:val="11"/>
          <w:color w:val="auto"/>
        </w:rPr>
        <w:t>10</w:t>
      </w:r>
      <w:r>
        <w:rPr>
          <w:rFonts w:ascii="Arial" w:cs="Arial" w:eastAsia="Arial" w:hAnsi="Arial"/>
          <w:sz w:val="16"/>
          <w:szCs w:val="16"/>
          <w:color w:val="auto"/>
        </w:rPr>
        <w:t xml:space="preserve"> IU/mL and &gt;3 log</w:t>
      </w:r>
      <w:r>
        <w:rPr>
          <w:rFonts w:ascii="Arial" w:cs="Arial" w:eastAsia="Arial" w:hAnsi="Arial"/>
          <w:sz w:val="11"/>
          <w:szCs w:val="11"/>
          <w:color w:val="auto"/>
        </w:rPr>
        <w:t>10</w:t>
      </w:r>
      <w:r>
        <w:rPr>
          <w:rFonts w:ascii="Arial" w:cs="Arial" w:eastAsia="Arial" w:hAnsi="Arial"/>
          <w:sz w:val="16"/>
          <w:szCs w:val="16"/>
          <w:color w:val="auto"/>
        </w:rPr>
        <w:t xml:space="preserve"> copies/mL, respectively, with no plateauing of the antiviral effect throughout dosing. Enrollment in Cohorts 3 (10 mg for 28 days in HBeAg negative CHB) and 5 (300 mg for 28 days in HBeAg positive CHB) is ongoing with topline data planned to be presented at a scientific conference in mid-2022. In order to understand the effects of longer-term dosing with ALG-000184 on viral markers (e.g., HBV DNA, HBV RNA, HBsAg, and HBeAg) as well as safety, the Phase 1 protocol has been amended to add Part 4, which is planned to dose HBeAg positive subjects for 12 weeks at the 100 mg and 300 mg dose levels in combination with a nucleos(t)ide analog. Dosing in Part 4 is expected to be completed during the fourth quarter of 2022.</w:t>
      </w:r>
    </w:p>
    <w:p>
      <w:pPr>
        <w:spacing w:after="0" w:line="6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For the ASO drug candidate, ALG-020572, dosing in HVs is complete. After reviewing preliminary data through Cohort 4 (480 mg given subcutaneously (SC)), the highest dose evaluated, the study’s safety committee identified no concerning findings. Based on the drug’s acceptable safety and PK profile to date, dosing in Part 2, which is evaluating multiple SC doses (7 doses given over 29 days) in CHB patients, was initiated at the 210 mg dose level. Enrollment in the first cohort of CHB subjects is complete. Preliminary data, including antiviral activity, through multiple cohorts in Part 2 are anticipated to be shared at a scientific conference in the fourth quarter of 2022.</w:t>
      </w:r>
    </w:p>
    <w:p>
      <w:pPr>
        <w:spacing w:after="0" w:line="81"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Our preclinical activities to advance our siRNA targeted against HBV are ongoing, with the clinical trial application (CTA) filing for ALG-125755 on-track for the first half of 2022 and dosing in HVs set to begin in the third quarter of 2022.</w:t>
      </w:r>
    </w:p>
    <w:p>
      <w:pPr>
        <w:spacing w:after="0" w:line="63"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If our CHB drug candidates are advanced from Phase 1 into Phase 2 development, we plan in 2023 to initiate a Phase 2 platform study to evaluate the safety and efficacy of various combinations of our CAM, ASO, and siRNA drug candidates with or without additional drugs with alternative mechanisms of action.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6" w:name="page7"/>
    <w:bookmarkEnd w:id="6"/>
    <w:p>
      <w:pPr>
        <w:ind w:right="160" w:firstLine="509"/>
        <w:spacing w:after="0" w:line="224" w:lineRule="auto"/>
        <w:rPr>
          <w:sz w:val="20"/>
          <w:szCs w:val="20"/>
          <w:color w:val="auto"/>
        </w:rPr>
      </w:pPr>
      <w:r>
        <w:rPr>
          <w:rFonts w:ascii="Arial" w:cs="Arial" w:eastAsia="Arial" w:hAnsi="Arial"/>
          <w:sz w:val="18"/>
          <w:szCs w:val="18"/>
          <w:color w:val="auto"/>
        </w:rPr>
        <w:t>Finally, note that our CHB portfolio previously included the drug candidate, ALG-010133, one of our proprietary S-antigen Transport-inhibiting Oligonucleotide Polymers (STOPS</w:t>
      </w:r>
      <w:r>
        <w:rPr>
          <w:rFonts w:ascii="Arial" w:cs="Arial" w:eastAsia="Arial" w:hAnsi="Arial"/>
          <w:sz w:val="24"/>
          <w:szCs w:val="24"/>
          <w:color w:val="auto"/>
          <w:vertAlign w:val="superscript"/>
        </w:rPr>
        <w:t>TM</w:t>
      </w:r>
      <w:r>
        <w:rPr>
          <w:rFonts w:ascii="Arial" w:cs="Arial" w:eastAsia="Arial" w:hAnsi="Arial"/>
          <w:sz w:val="18"/>
          <w:szCs w:val="18"/>
          <w:color w:val="auto"/>
        </w:rPr>
        <w:t>) drug candidates that was in a Phase 1b dose range finding trial (NCT04485663) evaluating subjects with CHB. In January 2022, we announced that we halted further development of ALG-010133 based on data from the Phase 1b trial, which indicated there was insufficient antiviral activity to warrant further development.</w:t>
      </w:r>
    </w:p>
    <w:p>
      <w:pPr>
        <w:spacing w:after="0" w:line="81"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Our second area of focus is in non-alcoholic steatohepatitis (NASH), a complex, chronic liver disease where combination regimens may likewise prove beneficial. Our most advanced drug candidate for NASH is</w:t>
      </w:r>
    </w:p>
    <w:p>
      <w:pPr>
        <w:spacing w:after="0" w:line="254" w:lineRule="auto"/>
        <w:rPr>
          <w:sz w:val="20"/>
          <w:szCs w:val="20"/>
          <w:color w:val="auto"/>
        </w:rPr>
      </w:pPr>
      <w:r>
        <w:rPr>
          <w:rFonts w:ascii="Arial" w:cs="Arial" w:eastAsia="Arial" w:hAnsi="Arial"/>
          <w:sz w:val="17"/>
          <w:szCs w:val="17"/>
          <w:color w:val="auto"/>
        </w:rPr>
        <w:t>ALG-055009, a small molecule THR-ß agonist. This drug candidate is being evaluated in a Phase 1a/1b study in HVs (oral single ascending doses) and subjects with hyperlipidemia (14 oral daily doses); dosing in both populations is currently underway. Topline data, including safety, PK, and anti-lipid effects in hyperlipidemic subjects are anticipated in the third quarter of 2022. Based on the previously demonstrated effects of other thyromimetics on liver fat, noninvasive markers of nonalcoholic fatty liver disease (NAFLD)/NASH, and liver histology in NASH patients, we believe ALG-055009 has the potential to become an integral component of future combination regimens for NASH.</w:t>
      </w:r>
    </w:p>
    <w:p>
      <w:pPr>
        <w:spacing w:after="0" w:line="70" w:lineRule="exact"/>
        <w:rPr>
          <w:sz w:val="20"/>
          <w:szCs w:val="20"/>
          <w:color w:val="auto"/>
        </w:rPr>
      </w:pPr>
    </w:p>
    <w:p>
      <w:pPr>
        <w:ind w:right="440" w:firstLine="494"/>
        <w:spacing w:after="0" w:line="262" w:lineRule="auto"/>
        <w:rPr>
          <w:sz w:val="20"/>
          <w:szCs w:val="20"/>
          <w:color w:val="auto"/>
        </w:rPr>
      </w:pPr>
      <w:r>
        <w:rPr>
          <w:rFonts w:ascii="Arial" w:cs="Arial" w:eastAsia="Arial" w:hAnsi="Arial"/>
          <w:sz w:val="17"/>
          <w:szCs w:val="17"/>
          <w:color w:val="auto"/>
        </w:rPr>
        <w:t>Our third area of focus is to develop drug candidates with pan-coronavirus activity, including against Severe Acute Respiratory Syndrome coronavirus 2 (SARS-CoV-2), the virus responsible for COVID-19. Our efforts to identify a coronavirus therapeutic are focused on a small molecule approach, where we are exploring coronavirus protease inhibitors in collaboration with Katholieke Universiteit Leuven (KU Leuven), the Center for Innovation and Stimulation of Drug Discovery (CISTIM) and the Centre for Drug Design and Discovery (CD3).</w:t>
      </w:r>
    </w:p>
    <w:p>
      <w:pPr>
        <w:spacing w:after="0" w:line="64"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Our team’s collective experience and success in discovering and developing drugs targeting viruses and liver diseases, combined with our in-house expertise in oligonucleotide and small molecule drug discovery, gives us a differentiated set of capabilities, which has enabled us to rapidly establish a robust pipeline of multiple novel drug candidates, as summarized in the pipeline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5349240" cy="2374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6" w:right="419" w:bottom="1440" w:gutter="0" w:footer="0" w:header="0"/>
        </w:sectPr>
      </w:pPr>
    </w:p>
    <w:bookmarkStart w:id="7" w:name="page8"/>
    <w:bookmarkEnd w:id="7"/>
    <w:p>
      <w:pPr>
        <w:ind w:right="20" w:firstLine="509"/>
        <w:spacing w:after="0" w:line="272" w:lineRule="auto"/>
        <w:rPr>
          <w:sz w:val="20"/>
          <w:szCs w:val="20"/>
          <w:color w:val="auto"/>
        </w:rPr>
      </w:pPr>
      <w:r>
        <w:rPr>
          <w:rFonts w:ascii="Arial" w:cs="Arial" w:eastAsia="Arial" w:hAnsi="Arial"/>
          <w:sz w:val="16"/>
          <w:szCs w:val="16"/>
          <w:color w:val="auto"/>
        </w:rPr>
        <w:t>Our most advanced drug candidates are for the treatment of CHB, a disease that affects more than 290 million people worldwide with approximately 30 million people becoming newly infected every year, despite the availability of an efficacious prophylactic vaccine. Approximately 900,000 people worldwide died from complications of CHB in 2015, according to the World Health Organization, and CHB is the primary cause of liver cancer worldwide. Currently approved therapies for CHB include pegylated forms of interferon-alfa (peg-IFNα) and nucleos(t)ide analogs, which are designed to boost the body’s immune response to the virus or inhibit viral replication, respectively. While these therapies have improved treatment outcomes for some patients with CHB, they have not been able to achieve meaningful rates of functional cure, which is the consensus goal of treatment and defined as a sustained loss of Hepatitis B S-antigen (HBsAg) and HBV DNA with or without hepatitis B surface antibody seroconversion after a finite course of treatment. Functional cure has been shown to greatly reduce the risk of developing certain other more serious downstream liver conditions, such as cirrhosis and ESLD.</w:t>
      </w:r>
    </w:p>
    <w:p>
      <w:pPr>
        <w:spacing w:after="0" w:line="60" w:lineRule="exact"/>
        <w:rPr>
          <w:sz w:val="20"/>
          <w:szCs w:val="20"/>
          <w:color w:val="auto"/>
        </w:rPr>
      </w:pPr>
    </w:p>
    <w:p>
      <w:pPr>
        <w:ind w:right="240" w:firstLine="509"/>
        <w:spacing w:after="0" w:line="241" w:lineRule="auto"/>
        <w:rPr>
          <w:sz w:val="20"/>
          <w:szCs w:val="20"/>
          <w:color w:val="auto"/>
        </w:rPr>
      </w:pPr>
      <w:r>
        <w:rPr>
          <w:rFonts w:ascii="Arial" w:cs="Arial" w:eastAsia="Arial" w:hAnsi="Arial"/>
          <w:sz w:val="18"/>
          <w:szCs w:val="18"/>
          <w:color w:val="auto"/>
        </w:rPr>
        <w:t>Our clinical development strategy involves evaluating both HBeAg positive and HBeAg negative CHB patient populations. HBeAg is typically present in earlier stages of the disease and is associated with higher rates of viral replication. During the natural course of the disease, HBeAg can be cleared, and antibodies develop, resulting in an HBeAg negative state where viral replication is often lower. Patients with HBeAg negative CHB are typically older and have more progressive disease-related complications (e.g., fibrosis of the liver). In addition, their immune system is likely to be more exhausted by chronic exposure to HBsAg, which makes viral clearance more difficult.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60960</wp:posOffset>
            </wp:positionV>
            <wp:extent cx="5349240" cy="2272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9240"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Multiple steps in the HBV life cycle, including those involving capsid assembly and production and secretion of HBsAg, are known to be essential to sustain HBV infection. We have built a portfolio of CHB drug candidates directed against clinically validated targets at several critical stages of the HBV life cycle. Our CHB portfolio includes:</w:t>
      </w:r>
    </w:p>
    <w:p>
      <w:pPr>
        <w:spacing w:after="0" w:line="70" w:lineRule="exact"/>
        <w:rPr>
          <w:sz w:val="20"/>
          <w:szCs w:val="20"/>
          <w:color w:val="auto"/>
        </w:rPr>
      </w:pPr>
    </w:p>
    <w:p>
      <w:pPr>
        <w:ind w:left="1020" w:right="20" w:hanging="503"/>
        <w:spacing w:after="0" w:line="253"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CAMs </w:t>
      </w:r>
      <w:r>
        <w:rPr>
          <w:rFonts w:ascii="Arial" w:cs="Arial" w:eastAsia="Arial" w:hAnsi="Arial"/>
          <w:sz w:val="17"/>
          <w:szCs w:val="17"/>
          <w:color w:val="auto"/>
        </w:rPr>
        <w:t>are small molecule antiviral agents that accelerate HBV capsid assembly and inhibit pregenomic RNA (pgRNA) encapsidation, which</w:t>
      </w:r>
      <w:r>
        <w:rPr>
          <w:rFonts w:ascii="Arial" w:cs="Arial" w:eastAsia="Arial" w:hAnsi="Arial"/>
          <w:sz w:val="17"/>
          <w:szCs w:val="17"/>
          <w:b w:val="1"/>
          <w:bCs w:val="1"/>
          <w:color w:val="auto"/>
        </w:rPr>
        <w:t xml:space="preserve"> </w:t>
      </w:r>
      <w:r>
        <w:rPr>
          <w:rFonts w:ascii="Arial" w:cs="Arial" w:eastAsia="Arial" w:hAnsi="Arial"/>
          <w:sz w:val="17"/>
          <w:szCs w:val="17"/>
          <w:color w:val="auto"/>
        </w:rPr>
        <w:t>reduces production of new virions capable of infecting other cells. CAMs may also inhibit the de novo establishment of covalently closed circular DNA (cccDNA), a major factor for the persistence of HBV infection, when introduced at the onset of infection. In clinical trials, other CAM drug candidates have demonstrated significant reductions in HBV DNA and pgRNA. However, it is likely that CAMs will need to be combined with other modalities that affect HBsAg in order to achieve functional cure. Our most advanced CAM drug candidate is ALG-000184, a prodrug of ALG-001075, which in nonclinical studies has demonstrated ~10-300-fold enhanced potency compared to other CAMs in clinical development of which we are aware. ALG-000184 is currently being evaluated in CHB subjects in an ongoing Phase 1 clinical trial. We believe antiviral activity data, collected as of January 28, 2022, from this study continue to indicate best in class potential based on robust inhibition of viral replication with 50-100 mg doses given for 28 days achieving DNA and RNA levels &lt;LLOQ in ≥75% and 100% of HBeAg negative subjects, respectively. Similarly robust activity has been observed in a cohort of HBeAg positive subjects, where 100 mg of ALG-000184 given for 28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 w:name="page9"/>
    <w:bookmarkEnd w:id="8"/>
    <w:p>
      <w:pPr>
        <w:ind w:left="1020" w:right="120"/>
        <w:spacing w:after="0" w:line="241" w:lineRule="auto"/>
        <w:rPr>
          <w:sz w:val="20"/>
          <w:szCs w:val="20"/>
          <w:color w:val="auto"/>
        </w:rPr>
      </w:pPr>
      <w:r>
        <w:rPr>
          <w:rFonts w:ascii="Arial" w:cs="Arial" w:eastAsia="Arial" w:hAnsi="Arial"/>
          <w:sz w:val="18"/>
          <w:szCs w:val="18"/>
          <w:color w:val="auto"/>
        </w:rPr>
        <w:t>days resulted in DNA and RNA reductions of &gt;4 log</w:t>
      </w:r>
      <w:r>
        <w:rPr>
          <w:rFonts w:ascii="Arial" w:cs="Arial" w:eastAsia="Arial" w:hAnsi="Arial"/>
          <w:sz w:val="12"/>
          <w:szCs w:val="12"/>
          <w:color w:val="auto"/>
        </w:rPr>
        <w:t>10</w:t>
      </w:r>
      <w:r>
        <w:rPr>
          <w:rFonts w:ascii="Arial" w:cs="Arial" w:eastAsia="Arial" w:hAnsi="Arial"/>
          <w:sz w:val="18"/>
          <w:szCs w:val="18"/>
          <w:color w:val="auto"/>
        </w:rPr>
        <w:t xml:space="preserve"> IU/mL and &gt;3 log</w:t>
      </w:r>
      <w:r>
        <w:rPr>
          <w:rFonts w:ascii="Arial" w:cs="Arial" w:eastAsia="Arial" w:hAnsi="Arial"/>
          <w:sz w:val="12"/>
          <w:szCs w:val="12"/>
          <w:color w:val="auto"/>
        </w:rPr>
        <w:t>10</w:t>
      </w:r>
      <w:r>
        <w:rPr>
          <w:rFonts w:ascii="Arial" w:cs="Arial" w:eastAsia="Arial" w:hAnsi="Arial"/>
          <w:sz w:val="18"/>
          <w:szCs w:val="18"/>
          <w:color w:val="auto"/>
        </w:rPr>
        <w:t xml:space="preserve"> copies/mL, respectively. We are continuing to assess the dose response for ALG-000184 in 2022 by evaluating dosing for 28 days at the 10 mg and 300 mg dose levels. Data from these cohorts are planned to be shared at a scientific conference mid-2022 and, if they prove sufficiently favorable, we also plan to evaluate longer (12 week) treatment durations with ALG-000184 this year. Preliminary data from the 12-week cohorts, if conducted, are planned to be shared at a scientific conference in the fourth quarter of 2022.</w:t>
      </w:r>
    </w:p>
    <w:p>
      <w:pPr>
        <w:spacing w:after="0" w:line="77" w:lineRule="exact"/>
        <w:rPr>
          <w:sz w:val="20"/>
          <w:szCs w:val="20"/>
          <w:color w:val="auto"/>
        </w:rPr>
      </w:pPr>
    </w:p>
    <w:p>
      <w:pPr>
        <w:ind w:left="1020" w:hanging="503"/>
        <w:spacing w:after="0" w:line="251"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ASOs </w:t>
      </w:r>
      <w:r>
        <w:rPr>
          <w:rFonts w:ascii="Arial" w:cs="Arial" w:eastAsia="Arial" w:hAnsi="Arial"/>
          <w:sz w:val="17"/>
          <w:szCs w:val="17"/>
          <w:color w:val="auto"/>
        </w:rPr>
        <w:t>are single-stranded DNA or RNA molecules that interfere with viral replication by binding to complementary messenger RNA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(mRNA), allowing the combined ASO and mRNA to be degraded by the enzyme RNase H. Using our oligonucleotide discovery capabilities, we identified ALG-020572, an ASO that targets HBV mRNA and can reduce HBsAg production. In third-party clinical trials, ASOs targeting HBV mRNA have demonstrated significant reductions in HBsAg. Our ASO approach utilizes state of the art bioinformatics, proprietary stabilization chemistry and liver targeting technology that we believe provide a number of potential benefits compared to other ASO candidates of which we are aware, including increased potency, a higher barrier to resistance and broad genotype coverage. Unconjugated forms of ALG-020572 and our siRNA drug candidate (ALG-125755) were evaluated for any additive or synergistic effects with respect to HBsAg knockdown, both in vitro and in vivo.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in dual combinations with each other as well as with other anti-HBV agents such as nucleos(t)ide analogs and CAMs, the siRNA or ASO candidate each demonstrated a range of additive or synergistic effects, depending on the specific combination used. With one another, the unconjugated forms of the siRNA and ASO candidates exhibited synergy </w:t>
      </w:r>
      <w:r>
        <w:rPr>
          <w:rFonts w:ascii="Arial" w:cs="Arial" w:eastAsia="Arial" w:hAnsi="Arial"/>
          <w:sz w:val="17"/>
          <w:szCs w:val="17"/>
          <w:i w:val="1"/>
          <w:iCs w:val="1"/>
          <w:color w:val="auto"/>
        </w:rPr>
        <w:t>in vitro</w:t>
      </w:r>
      <w:r>
        <w:rPr>
          <w:rFonts w:ascii="Arial" w:cs="Arial" w:eastAsia="Arial" w:hAnsi="Arial"/>
          <w:sz w:val="17"/>
          <w:szCs w:val="17"/>
          <w:color w:val="auto"/>
        </w:rPr>
        <w:t>. These</w:t>
      </w:r>
      <w:r>
        <w:rPr>
          <w:rFonts w:ascii="Arial" w:cs="Arial" w:eastAsia="Arial" w:hAnsi="Arial"/>
          <w:sz w:val="17"/>
          <w:szCs w:val="17"/>
          <w:i w:val="1"/>
          <w:iCs w:val="1"/>
          <w:color w:val="auto"/>
        </w:rPr>
        <w:t xml:space="preserve"> in vitro </w:t>
      </w:r>
      <w:r>
        <w:rPr>
          <w:rFonts w:ascii="Arial" w:cs="Arial" w:eastAsia="Arial" w:hAnsi="Arial"/>
          <w:sz w:val="17"/>
          <w:szCs w:val="17"/>
          <w:color w:val="auto"/>
        </w:rPr>
        <w:t>effects were confirmed in an in vivo adeno-associated virus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w:t>
      </w:r>
      <w:r>
        <w:rPr>
          <w:rFonts w:ascii="Arial" w:cs="Arial" w:eastAsia="Arial" w:hAnsi="Arial"/>
          <w:sz w:val="17"/>
          <w:szCs w:val="17"/>
          <w:color w:val="auto"/>
        </w:rPr>
        <w:t>AAV)-HBV mouse model of HBV infection, where the</w:t>
      </w:r>
      <w:r>
        <w:rPr>
          <w:rFonts w:ascii="Arial" w:cs="Arial" w:eastAsia="Arial" w:hAnsi="Arial"/>
          <w:sz w:val="17"/>
          <w:szCs w:val="17"/>
          <w:i w:val="1"/>
          <w:iCs w:val="1"/>
          <w:color w:val="auto"/>
        </w:rPr>
        <w:t xml:space="preserve"> </w:t>
      </w:r>
      <w:r>
        <w:rPr>
          <w:rFonts w:ascii="Arial" w:cs="Arial" w:eastAsia="Arial" w:hAnsi="Arial"/>
          <w:sz w:val="17"/>
          <w:szCs w:val="17"/>
          <w:color w:val="auto"/>
        </w:rPr>
        <w:t>ASO and siRNA exhibited additive effects with respect to HBsAg knockdown when combined. ALG-020572 is currently being evaluated in an ongoing Phase 1 study which will assess the safety, PK, and antiviral activity of single or multiple (7) SC doses of ALG-020572 in HVs and CHB subjects, respectively. Dosing in HVs is now complete and, to date, single doses of up to 480 mg of ALG-020572 have been well tolerated with an acceptable PK profile. Enrollment in the first CHB cohort is complete. Multiple dose levels will be evaluated in order to define the dose-response characteristics of ALG-020572 in CHB subjects; these data are planned to be presented at a scientific conference in the second half of 2022.</w:t>
      </w:r>
    </w:p>
    <w:p>
      <w:pPr>
        <w:spacing w:after="0" w:line="75" w:lineRule="exact"/>
        <w:rPr>
          <w:rFonts w:ascii="Arial" w:cs="Arial" w:eastAsia="Arial" w:hAnsi="Arial"/>
          <w:sz w:val="17"/>
          <w:szCs w:val="17"/>
          <w:color w:val="auto"/>
        </w:rPr>
      </w:pPr>
    </w:p>
    <w:p>
      <w:pPr>
        <w:ind w:left="1020" w:right="100" w:hanging="503"/>
        <w:spacing w:after="0" w:line="242"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siRNAs </w:t>
      </w:r>
      <w:r>
        <w:rPr>
          <w:rFonts w:ascii="Arial" w:cs="Arial" w:eastAsia="Arial" w:hAnsi="Arial"/>
          <w:sz w:val="18"/>
          <w:szCs w:val="18"/>
          <w:color w:val="auto"/>
        </w:rPr>
        <w:t>are a class of double-stranded, non-coding RNA that interfere with viral replication by silencing gene expression. Multiple siRNAs</w:t>
      </w:r>
      <w:r>
        <w:rPr>
          <w:rFonts w:ascii="Arial" w:cs="Arial" w:eastAsia="Arial" w:hAnsi="Arial"/>
          <w:sz w:val="18"/>
          <w:szCs w:val="18"/>
          <w:b w:val="1"/>
          <w:bCs w:val="1"/>
          <w:color w:val="auto"/>
        </w:rPr>
        <w:t xml:space="preserve"> </w:t>
      </w:r>
      <w:r>
        <w:rPr>
          <w:rFonts w:ascii="Arial" w:cs="Arial" w:eastAsia="Arial" w:hAnsi="Arial"/>
          <w:sz w:val="18"/>
          <w:szCs w:val="18"/>
          <w:color w:val="auto"/>
        </w:rPr>
        <w:t>have demonstrated significant reductions in HBsAg levels in clinical trials. Our oligonucleotide discovery capabilities resulted in the identification of</w:t>
      </w:r>
    </w:p>
    <w:p>
      <w:pPr>
        <w:spacing w:after="0" w:line="1" w:lineRule="exact"/>
        <w:rPr>
          <w:rFonts w:ascii="Arial" w:cs="Arial" w:eastAsia="Arial" w:hAnsi="Arial"/>
          <w:sz w:val="18"/>
          <w:szCs w:val="18"/>
          <w:color w:val="auto"/>
        </w:rPr>
      </w:pPr>
    </w:p>
    <w:p>
      <w:pPr>
        <w:ind w:left="1020" w:right="320"/>
        <w:spacing w:after="0" w:line="234" w:lineRule="auto"/>
        <w:rPr>
          <w:rFonts w:ascii="Arial" w:cs="Arial" w:eastAsia="Arial" w:hAnsi="Arial"/>
          <w:sz w:val="18"/>
          <w:szCs w:val="18"/>
          <w:color w:val="auto"/>
        </w:rPr>
      </w:pPr>
      <w:r>
        <w:rPr>
          <w:rFonts w:ascii="Arial" w:cs="Arial" w:eastAsia="Arial" w:hAnsi="Arial"/>
          <w:sz w:val="18"/>
          <w:szCs w:val="18"/>
          <w:color w:val="auto"/>
        </w:rPr>
        <w:t>ALG-125755, an siRNA drug candidate directed at HBsAg mRNA, which utilizes our proprietary liver targeting technology. In an AAV-HBV mouse study, ALG-125755 was shown to reduce HBsAg by</w:t>
      </w:r>
    </w:p>
    <w:p>
      <w:pPr>
        <w:spacing w:after="0" w:line="1" w:lineRule="exact"/>
        <w:rPr>
          <w:rFonts w:ascii="Arial" w:cs="Arial" w:eastAsia="Arial" w:hAnsi="Arial"/>
          <w:sz w:val="18"/>
          <w:szCs w:val="18"/>
          <w:color w:val="auto"/>
        </w:rPr>
      </w:pPr>
    </w:p>
    <w:p>
      <w:pPr>
        <w:ind w:left="1020" w:right="360"/>
        <w:spacing w:after="0" w:line="237" w:lineRule="auto"/>
        <w:rPr>
          <w:rFonts w:ascii="Arial" w:cs="Arial" w:eastAsia="Arial" w:hAnsi="Arial"/>
          <w:sz w:val="18"/>
          <w:szCs w:val="18"/>
          <w:color w:val="auto"/>
        </w:rPr>
      </w:pPr>
      <w:r>
        <w:rPr>
          <w:rFonts w:ascii="Arial" w:cs="Arial" w:eastAsia="Arial" w:hAnsi="Arial"/>
          <w:sz w:val="18"/>
          <w:szCs w:val="18"/>
          <w:color w:val="auto"/>
        </w:rPr>
        <w:t>1.5 log</w:t>
      </w:r>
      <w:r>
        <w:rPr>
          <w:rFonts w:ascii="Arial" w:cs="Arial" w:eastAsia="Arial" w:hAnsi="Arial"/>
          <w:sz w:val="12"/>
          <w:szCs w:val="12"/>
          <w:color w:val="auto"/>
        </w:rPr>
        <w:t>10</w:t>
      </w:r>
      <w:r>
        <w:rPr>
          <w:rFonts w:ascii="Arial" w:cs="Arial" w:eastAsia="Arial" w:hAnsi="Arial"/>
          <w:sz w:val="18"/>
          <w:szCs w:val="18"/>
          <w:color w:val="auto"/>
        </w:rPr>
        <w:t xml:space="preserve"> IU/mL 28 days after a single SC dose of 5 mg/kg. This encouraging degree of HBsAg reduction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is corroborated by its activity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with mean EC</w:t>
      </w:r>
      <w:r>
        <w:rPr>
          <w:rFonts w:ascii="Arial" w:cs="Arial" w:eastAsia="Arial" w:hAnsi="Arial"/>
          <w:sz w:val="12"/>
          <w:szCs w:val="12"/>
          <w:color w:val="auto"/>
        </w:rPr>
        <w:t>50</w:t>
      </w:r>
      <w:r>
        <w:rPr>
          <w:rFonts w:ascii="Arial" w:cs="Arial" w:eastAsia="Arial" w:hAnsi="Arial"/>
          <w:sz w:val="18"/>
          <w:szCs w:val="18"/>
          <w:color w:val="auto"/>
        </w:rPr>
        <w:t xml:space="preserve"> values of 23.9 pM (n=3) and 28.8 pM (n=2) in two different cell culture assays. The compound also demonstrated a favorable pharmacological profile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in multiple other cell culture systems. Phase 1 enabling nonclinical studies are ongoing and we plan to dose HVs with single SC doses of ALG-125755 in the third quarter of 2022. Multiple dosing in CHB subjects is projected to begin in the first quarter of 2023.</w:t>
      </w:r>
    </w:p>
    <w:p>
      <w:pPr>
        <w:spacing w:after="0" w:line="78" w:lineRule="exact"/>
        <w:rPr>
          <w:rFonts w:ascii="Arial" w:cs="Arial" w:eastAsia="Arial" w:hAnsi="Arial"/>
          <w:sz w:val="18"/>
          <w:szCs w:val="18"/>
          <w:color w:val="auto"/>
        </w:rPr>
      </w:pPr>
    </w:p>
    <w:p>
      <w:pPr>
        <w:ind w:left="1020" w:right="280" w:hanging="503"/>
        <w:spacing w:after="0" w:line="254"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PD-L1 Inhibitors. </w:t>
      </w:r>
      <w:r>
        <w:rPr>
          <w:rFonts w:ascii="Arial" w:cs="Arial" w:eastAsia="Arial" w:hAnsi="Arial"/>
          <w:sz w:val="17"/>
          <w:szCs w:val="17"/>
          <w:color w:val="auto"/>
        </w:rPr>
        <w:t>We are developing orally delivered, liver-targeted small molecule PD-L1 inhibitors in order to modulate host immune</w:t>
      </w:r>
      <w:r>
        <w:rPr>
          <w:rFonts w:ascii="Arial" w:cs="Arial" w:eastAsia="Arial" w:hAnsi="Arial"/>
          <w:sz w:val="17"/>
          <w:szCs w:val="17"/>
          <w:b w:val="1"/>
          <w:bCs w:val="1"/>
          <w:color w:val="auto"/>
        </w:rPr>
        <w:t xml:space="preserve"> </w:t>
      </w:r>
      <w:r>
        <w:rPr>
          <w:rFonts w:ascii="Arial" w:cs="Arial" w:eastAsia="Arial" w:hAnsi="Arial"/>
          <w:sz w:val="17"/>
          <w:szCs w:val="17"/>
          <w:color w:val="auto"/>
        </w:rPr>
        <w:t>responses to HBV. This approach has been shown to have favorable effects on HBsAg lowering in patients with CHB. This program is currently in lead optimization and a lead compound, ALG-093453, has been shown to induce T cell activation in an in vitro Jurkat T cell-NFAT assay with similar activity to the PD-1 monoclonal antibody, nivolumab. In addition,</w:t>
      </w:r>
    </w:p>
    <w:p>
      <w:pPr>
        <w:spacing w:after="0" w:line="2" w:lineRule="exact"/>
        <w:rPr>
          <w:rFonts w:ascii="Arial" w:cs="Arial" w:eastAsia="Arial" w:hAnsi="Arial"/>
          <w:sz w:val="17"/>
          <w:szCs w:val="17"/>
          <w:color w:val="auto"/>
        </w:rPr>
      </w:pPr>
    </w:p>
    <w:p>
      <w:pPr>
        <w:ind w:left="1020"/>
        <w:spacing w:after="0"/>
        <w:rPr>
          <w:rFonts w:ascii="Arial" w:cs="Arial" w:eastAsia="Arial" w:hAnsi="Arial"/>
          <w:sz w:val="17"/>
          <w:szCs w:val="17"/>
          <w:color w:val="auto"/>
        </w:rPr>
      </w:pPr>
      <w:r>
        <w:rPr>
          <w:rFonts w:ascii="Arial" w:cs="Arial" w:eastAsia="Arial" w:hAnsi="Arial"/>
          <w:sz w:val="18"/>
          <w:szCs w:val="18"/>
          <w:color w:val="auto"/>
        </w:rPr>
        <w:t>ALG-093453 induces HBV-antigen specific IFN-g secretion from T cells from patients infected with HBV.</w:t>
      </w:r>
    </w:p>
    <w:p>
      <w:pPr>
        <w:spacing w:after="0" w:line="8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believe that a combination of drugs capable of inhibiting HBV DNA replication and RNA packaging (e.g., using CAMs) while simultaneously suppressing HBsAg production (e.g., using our ASO and/or siRNA) and modulating patients’ immune responses to HBV infection (e.g., using our PD-L1 inhibitor and/or other immunomodulatory drugs) has the potential to act additively or synergistically and may lead to a higher rate of functional cure. Our clinical development strategy is designed to evaluate the safety and antiviral activity of drugs with these various therapeutic approaches as monotherapy prior to evaluating multiple combinations of our CHB assets with or without other currently available treatment modalities such as nucleos(t)ide analogs or peg-IFNα to identify optimized combination regimens.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9" w:name="page10"/>
    <w:bookmarkEnd w:id="9"/>
    <w:p>
      <w:pPr>
        <w:ind w:right="40" w:firstLine="509"/>
        <w:spacing w:after="0" w:line="251" w:lineRule="auto"/>
        <w:rPr>
          <w:sz w:val="20"/>
          <w:szCs w:val="20"/>
          <w:color w:val="auto"/>
        </w:rPr>
      </w:pPr>
      <w:r>
        <w:rPr>
          <w:rFonts w:ascii="Arial" w:cs="Arial" w:eastAsia="Arial" w:hAnsi="Arial"/>
          <w:sz w:val="17"/>
          <w:szCs w:val="17"/>
          <w:color w:val="auto"/>
        </w:rPr>
        <w:t>Our second development activity is focused on the treatment of NASH. An estimated 1.5% to 6.5% of the global population, or up to about 450 million people, was believed to have NASH as of 2015, and this percentage is expected to increase significantly in the coming decade due to the continued adoption of Western dietary habits. In the absence of lifestyle modifications, the inflammation inherent in NASH persists and results in progressive fibrosis of the liver, which may lead to cirrhosis, HCC, the need for liver transplant, and death. We believe one of the most promising pharmacologic approaches in development for NASH is a selective agonist of the beta subtype of the thyroid hormone receptor (THR-ß), which, in clinical trials conducted by third parties, has demonstrated significant reduction in liver fat as well as histologic improvement. Other THR-ß drugs have also shown reductions in lipid levels in the serum, which may have important advantages in the NASH patient population that is at a high risk of cardiovascular co-morbidities. Utilizing our expertise in small molecule drug discovery, we identified ALG-055009, a once-daily oral THR-ß agonist. In nonclinical studies, ALG-055009 has been shown to be substantially more potent compared to other THR-ß agonists currently in development of which we are aware and may avoid some of their potential safety liabilities. It also appears to have the potential to achieve equal or better efficacy and improved pharmacokinetic properties compared to competitor drug candidates. As a result, we believe ALG-055009 has the potential to become an integral component of combination regimens to treat NASH. We recently initiated a Phase 1a/1b trial with ALG-055009 in December 2021; dosing in both HVs (SAD) and subjects with hyperlipidemia (multiple ascending doses; MAD) is ongoing and we expect to share topline safety, PK, and anti-lipid data from these populations in the third quarter of 2022. We also plan to share these data at a scientific conference in the fourth quarter of 2022.</w:t>
      </w:r>
    </w:p>
    <w:p>
      <w:pPr>
        <w:spacing w:after="0" w:line="81"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Our third area of focus is to develop pan-coronavirus treatment regimens. SARS-CoV-2 is responsible for the COVID-19 pandemic, which has been identified as a cause of more than 5.9 million deaths worldwide, including approximately 950,000 in the United States, as of early March 2022. After MERS and SARS (SARS-CoV-1), SARS-CoV-2 is the third known coronavirus to have crossed over from animal species to humans in the past 20 years and cause significant morbidity and mortality. While multiple vaccines have become available, it is unlikely that vaccination will be sufficiently widely adopted or fully efficacious for all emerging variants, indicating that the need for effective therapeutics will likely remain. Two orally available therapeutics have been authorized for emergency use for the treatment of COVID-19, but both have important limitations related to sub-optimal efficacy (molnupiravir, a nucleoside analog; Merck) or the need for ritonavir boosting (PF-07321332/nirmatrelvir, a protease inhibitor; Pfizer). We have identified multiple protease inhibitors that are more potent in vitro than nirmatrelvir and don’t require ritonavir boosting, which may offer important clinical advantages in the future treatment of COVID-19 or other coronaviruses. We anticipate initiating Phase 1 enabling nonclinical studies of one of our COVID-PIs in the third quarter of 2022, and it is planned to enter the clinic in the first quarter of 2023.</w:t>
      </w:r>
    </w:p>
    <w:p>
      <w:pPr>
        <w:spacing w:after="0" w:line="72"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Our management team consists of a group of highly collaborative, culturally diverse executives with decades of drug discovery and development experience and a proven track record of success in the areas of viral infections and liver diseases. Most members of our management team have worked together across multiple companies, many for over a decade, and have been collectively involved in the discovery and/or development of a number of drugs that have been successfully commercialized, including Ganovo, Olysio, Sovaldi, Hepsera, Infergen, Valtrex, Sirturo, Neupogen, Andexxa and Esbriet, among others. In support of our management team, we also have assembled an industry-leading board of directors and a world-class group of scientific advisors with significant experience in drug development for viral and liver diseases.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08" w:lineRule="exact"/>
        <w:rPr>
          <w:sz w:val="20"/>
          <w:szCs w:val="20"/>
          <w:color w:val="auto"/>
        </w:rPr>
      </w:pPr>
    </w:p>
    <w:p>
      <w:pPr>
        <w:ind w:right="80" w:firstLine="509"/>
        <w:spacing w:after="0" w:line="294" w:lineRule="auto"/>
        <w:rPr>
          <w:sz w:val="20"/>
          <w:szCs w:val="20"/>
          <w:color w:val="auto"/>
        </w:rPr>
      </w:pPr>
      <w:r>
        <w:rPr>
          <w:rFonts w:ascii="Arial" w:cs="Arial" w:eastAsia="Arial" w:hAnsi="Arial"/>
          <w:sz w:val="16"/>
          <w:szCs w:val="16"/>
          <w:color w:val="auto"/>
        </w:rPr>
        <w:t>Our strategy is to develop pharmacologically optimized drug candidates for use in combination regimens designed to achieve improved treatment outcomes. Our initial areas of focus are viral and liver diseases, where our team can leverage their in-depth knowledge and expertise to develop potentially best-in-class combination regimens addressing large areas of unmet medical need. The core elements of our business strategy include:</w:t>
      </w:r>
    </w:p>
    <w:p>
      <w:pPr>
        <w:spacing w:after="0" w:line="39" w:lineRule="exact"/>
        <w:rPr>
          <w:sz w:val="20"/>
          <w:szCs w:val="20"/>
          <w:color w:val="auto"/>
        </w:rPr>
      </w:pPr>
    </w:p>
    <w:p>
      <w:pPr>
        <w:ind w:left="1020" w:hanging="503"/>
        <w:spacing w:after="0" w:line="24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Developing improved drug candidates against clinically validated targets. </w:t>
      </w:r>
      <w:r>
        <w:rPr>
          <w:rFonts w:ascii="Arial" w:cs="Arial" w:eastAsia="Arial" w:hAnsi="Arial"/>
          <w:sz w:val="18"/>
          <w:szCs w:val="18"/>
          <w:color w:val="auto"/>
        </w:rPr>
        <w:t>We leverage our oligonucleotide and small molecule platforms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identify drug candidates with pharmacologically optimized characteristics compared to other drug candidates, including the potential for improved efficacy, safety and/or route of administration. By initially focusing on clinically validated targets, we increase the likelihood of demonstrating clinical efficacy and delivering optimized combination regimens.</w:t>
      </w:r>
    </w:p>
    <w:p>
      <w:pPr>
        <w:spacing w:after="0" w:line="79"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Creating combination regimens designed to achieve better outcomes. </w:t>
      </w:r>
      <w:r>
        <w:rPr>
          <w:rFonts w:ascii="Arial" w:cs="Arial" w:eastAsia="Arial" w:hAnsi="Arial"/>
          <w:sz w:val="18"/>
          <w:szCs w:val="18"/>
          <w:color w:val="auto"/>
        </w:rPr>
        <w:t>We believe that most chronic and viral diseases require combination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therapies for optimal treatment outcomes, and that combining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0" w:name="page11"/>
    <w:bookmarkEnd w:id="10"/>
    <w:p>
      <w:pPr>
        <w:ind w:left="1020" w:right="120"/>
        <w:spacing w:after="0" w:line="294" w:lineRule="auto"/>
        <w:rPr>
          <w:sz w:val="20"/>
          <w:szCs w:val="20"/>
          <w:color w:val="auto"/>
        </w:rPr>
      </w:pPr>
      <w:r>
        <w:rPr>
          <w:rFonts w:ascii="Arial" w:cs="Arial" w:eastAsia="Arial" w:hAnsi="Arial"/>
          <w:sz w:val="16"/>
          <w:szCs w:val="16"/>
          <w:color w:val="auto"/>
        </w:rPr>
        <w:t>individual drugs which can act additively or synergistically provides the greatest potential for enhanced efficacy. For each of our drug candidates, our strategy in Phase 1 is to rapidly evaluate safety and demonstrate proof of activity for each individual drug. Subsequently, we plan to combine multiple drug candidates in Phase 2 trials to identify optimized combination regimens to be advanced into pivotal trials.</w:t>
      </w:r>
    </w:p>
    <w:p>
      <w:pPr>
        <w:spacing w:after="0" w:line="39" w:lineRule="exact"/>
        <w:rPr>
          <w:sz w:val="20"/>
          <w:szCs w:val="20"/>
          <w:color w:val="auto"/>
        </w:rPr>
      </w:pPr>
    </w:p>
    <w:p>
      <w:pPr>
        <w:ind w:left="1020" w:right="120" w:hanging="503"/>
        <w:spacing w:after="0" w:line="207" w:lineRule="exact"/>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Developing a functional cure for CHB. </w:t>
      </w:r>
      <w:r>
        <w:rPr>
          <w:rFonts w:ascii="Arial" w:cs="Arial" w:eastAsia="Arial" w:hAnsi="Arial"/>
          <w:sz w:val="16"/>
          <w:szCs w:val="16"/>
          <w:color w:val="auto"/>
        </w:rPr>
        <w:t>We have a portfolio of differentiated drug candidates for CHB, including a small molecule CAM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oligonucleotides (ASO and siRNA), each of which is designed to inhibit clinically validated, distinct and critical points in the HBV life cycle. Our two most advanced drug candidates for CHB, ALG</w:t>
      </w:r>
      <w:r>
        <w:rPr>
          <w:rFonts w:ascii="MS PGothic" w:cs="MS PGothic" w:eastAsia="MS PGothic" w:hAnsi="MS PGothic"/>
          <w:sz w:val="16"/>
          <w:szCs w:val="16"/>
          <w:color w:val="auto"/>
        </w:rPr>
        <w:t>‑</w:t>
      </w:r>
      <w:r>
        <w:rPr>
          <w:rFonts w:ascii="Arial" w:cs="Arial" w:eastAsia="Arial" w:hAnsi="Arial"/>
          <w:sz w:val="16"/>
          <w:szCs w:val="16"/>
          <w:color w:val="auto"/>
        </w:rPr>
        <w:t>000184, a CAM, and ALG-020572, an ASO, are currently in Phase 1b trials. Based on nonclinical studies, we believe that each of our CHB drug candidates has demonstrated strong potential relative to other drugs in development. We are also developing liver-targeted small molecule PD-L1 inhibitors to modulate host immune responses to HBV. This approach has also been shown to have favorable effects on HBsAg lowering. In combination, we believe our CHB drug candidates will provide greater viral suppression and enhanced immune responses to HBV infection, potentially leading to higher rates of functional cure.</w:t>
      </w:r>
    </w:p>
    <w:p>
      <w:pPr>
        <w:spacing w:after="0" w:line="81" w:lineRule="exact"/>
        <w:rPr>
          <w:rFonts w:ascii="Arial" w:cs="Arial" w:eastAsia="Arial" w:hAnsi="Arial"/>
          <w:sz w:val="16"/>
          <w:szCs w:val="16"/>
          <w:color w:val="auto"/>
        </w:rPr>
      </w:pPr>
    </w:p>
    <w:p>
      <w:pPr>
        <w:ind w:left="1040" w:hanging="517"/>
        <w:spacing w:after="0" w:line="253"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Expanding our development capabilities and pipeline. </w:t>
      </w:r>
      <w:r>
        <w:rPr>
          <w:rFonts w:ascii="Arial" w:cs="Arial" w:eastAsia="Arial" w:hAnsi="Arial"/>
          <w:sz w:val="17"/>
          <w:szCs w:val="17"/>
          <w:color w:val="auto"/>
        </w:rPr>
        <w:t>We are utilizing our in-house discovery expertise to continually improve upon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existing drug candidates by identifying promising backup candidates and exploring novel and emerging drug targets in viral and liver diseases. We are also evaluating novel mechanisms of action with the potential to complement our current pipeline. To further supplement our internal discovery and development efforts, we actively evaluate external technology platforms and assets for future development candidates for liver and viral diseases. To date, we have secured licenses for technology from Emory, Luxna and AM Chemicals, LLC (AM Chemicals), and have entered into collaborations with KU Leuven’s Rega Institute for Medical Research, as well as its Centre for Drug Design and Discovery, and we have two collaborations with Merck Sharp &amp; Dohme Corp., a subsidiary of Merck &amp; Co., Inc. (known outside of the United States and Canada as MSD) (which Merck Sharp &amp; Dohme Corp., or Merck &amp; Co., Inc., individually or together, are referred to herein as “Merck”).</w:t>
      </w:r>
    </w:p>
    <w:p>
      <w:pPr>
        <w:spacing w:after="0" w:line="75" w:lineRule="exact"/>
        <w:rPr>
          <w:rFonts w:ascii="Arial" w:cs="Arial" w:eastAsia="Arial" w:hAnsi="Arial"/>
          <w:sz w:val="17"/>
          <w:szCs w:val="17"/>
          <w:color w:val="auto"/>
        </w:rPr>
      </w:pPr>
    </w:p>
    <w:p>
      <w:pPr>
        <w:ind w:left="1020" w:right="120" w:hanging="503"/>
        <w:spacing w:after="0" w:line="279"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Maximizing the value of our drug candidates. </w:t>
      </w:r>
      <w:r>
        <w:rPr>
          <w:rFonts w:ascii="Arial" w:cs="Arial" w:eastAsia="Arial" w:hAnsi="Arial"/>
          <w:sz w:val="16"/>
          <w:szCs w:val="16"/>
          <w:color w:val="auto"/>
        </w:rPr>
        <w:t>We currently hold worldwide development and commercialization rights, including through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exclusive licenses, to all of our drug candidates. We intend to pursue independent development and commercialization in select indications and markets that we can address with a specialty sales and marketing organization. We may opportunistically explore additional licensing agreements, collaborations or partnerships to develop our drug candidates in larger market indications where we could accelerate development utilizing the resources of larger biopharmaceutical companies, or to commercialize them in specific geographies.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research and development</w:t>
      </w:r>
    </w:p>
    <w:p>
      <w:pPr>
        <w:spacing w:after="0" w:line="108"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Our oligonucleotide and small molecule platforms allow us to discover drug candidates that can be used to develop potentially best-in-class combination regimens. Oligonucleotide approaches enable specific inhibition of the translation of viral or host genes to affect a desired outcome that would be challenging to achieve with traditional small molecules. We believe the diversity of chemical matter we can generate with these complementary modalities broadens the range of therapeutic targets we can address with our platforms and provides us with a differentiated set of in-house capabilities to use in developing novel, optimized combination regimens across all of our current areas of focus.</w:t>
      </w:r>
    </w:p>
    <w:p>
      <w:pPr>
        <w:spacing w:after="0" w:line="176" w:lineRule="exact"/>
        <w:rPr>
          <w:sz w:val="20"/>
          <w:szCs w:val="20"/>
          <w:color w:val="auto"/>
        </w:rPr>
      </w:pPr>
    </w:p>
    <w:p>
      <w:pPr>
        <w:ind w:right="120" w:firstLine="509"/>
        <w:spacing w:after="0"/>
        <w:rPr>
          <w:sz w:val="20"/>
          <w:szCs w:val="20"/>
          <w:color w:val="auto"/>
        </w:rPr>
      </w:pPr>
      <w:r>
        <w:rPr>
          <w:rFonts w:ascii="Arial" w:cs="Arial" w:eastAsia="Arial" w:hAnsi="Arial"/>
          <w:sz w:val="17"/>
          <w:szCs w:val="17"/>
          <w:color w:val="auto"/>
        </w:rPr>
        <w:t>Our approach of combining multiple mechanisms from these distinct modalities is based on the observation that most chronic diseases, whether extrinsic (e.g., HIV and Hepatitis C) or intrinsic (e.g., metabolic syndrome conditions such as hypertension and diabetes), often require combination therapy to achieve optimal outcomes. Combination approaches have the advantage of simultaneously targeting multiple pathways and can act broadly and potentially synergistically. Particularly in the case of viral diseases, the simultaneous use of multiple drugs in combination can increase the barrier to viral resistance. As part of our drug candidate screening paradigm, we perform in vitro combination studies to ensure that none of the combinations we plan to evaluate clinically demonstrate antagonistic interactions.</w:t>
      </w:r>
    </w:p>
    <w:p>
      <w:pPr>
        <w:spacing w:after="0" w:line="69" w:lineRule="exact"/>
        <w:rPr>
          <w:sz w:val="20"/>
          <w:szCs w:val="20"/>
          <w:color w:val="auto"/>
        </w:rPr>
      </w:pPr>
    </w:p>
    <w:p>
      <w:pPr>
        <w:ind w:right="520" w:firstLine="509"/>
        <w:spacing w:after="0" w:line="246" w:lineRule="auto"/>
        <w:rPr>
          <w:sz w:val="20"/>
          <w:szCs w:val="20"/>
          <w:color w:val="auto"/>
        </w:rPr>
      </w:pPr>
      <w:r>
        <w:rPr>
          <w:rFonts w:ascii="Arial" w:cs="Arial" w:eastAsia="Arial" w:hAnsi="Arial"/>
          <w:sz w:val="18"/>
          <w:szCs w:val="18"/>
          <w:color w:val="auto"/>
        </w:rPr>
        <w:t>Our team has extensive end-to-end drug discovery and development experience across multiple therapeutic areas and disciplines. Our clinical development strategy leverages past experience to rapidly advance drug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1" w:name="page12"/>
    <w:bookmarkEnd w:id="11"/>
    <w:p>
      <w:pPr>
        <w:ind w:right="80"/>
        <w:spacing w:after="0" w:line="246" w:lineRule="auto"/>
        <w:rPr>
          <w:sz w:val="20"/>
          <w:szCs w:val="20"/>
          <w:color w:val="auto"/>
        </w:rPr>
      </w:pPr>
      <w:r>
        <w:rPr>
          <w:rFonts w:ascii="Arial" w:cs="Arial" w:eastAsia="Arial" w:hAnsi="Arial"/>
          <w:sz w:val="18"/>
          <w:szCs w:val="18"/>
          <w:color w:val="auto"/>
        </w:rPr>
        <w:t>candidates towards optimized combination regimens. We have strengthened our platforms by in-licensing select intellectual property, which, together with our in-house expertise, allows us to develop novel and proprietary drug candidates.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Oligonucleotide platform</w:t>
      </w:r>
    </w:p>
    <w:p>
      <w:pPr>
        <w:spacing w:after="0" w:line="90" w:lineRule="exact"/>
        <w:rPr>
          <w:sz w:val="20"/>
          <w:szCs w:val="20"/>
          <w:color w:val="auto"/>
        </w:rPr>
      </w:pPr>
    </w:p>
    <w:p>
      <w:pPr>
        <w:ind w:right="100" w:firstLine="509"/>
        <w:spacing w:after="0" w:line="199" w:lineRule="exact"/>
        <w:rPr>
          <w:sz w:val="20"/>
          <w:szCs w:val="20"/>
          <w:color w:val="auto"/>
        </w:rPr>
      </w:pPr>
      <w:r>
        <w:rPr>
          <w:rFonts w:ascii="Arial" w:cs="Arial" w:eastAsia="Arial" w:hAnsi="Arial"/>
          <w:sz w:val="17"/>
          <w:szCs w:val="17"/>
          <w:color w:val="auto"/>
        </w:rPr>
        <w:t>We have multiple distinct modalities within our oligonucleotide platform, including ASOs and siRNAs. We have developed a portfolio of oligonucleotide drug candidates for the treatment of CHB, including: ALG</w:t>
      </w:r>
      <w:r>
        <w:rPr>
          <w:rFonts w:ascii="MS PGothic" w:cs="MS PGothic" w:eastAsia="MS PGothic" w:hAnsi="MS PGothic"/>
          <w:sz w:val="17"/>
          <w:szCs w:val="17"/>
          <w:color w:val="auto"/>
        </w:rPr>
        <w:t>‑</w:t>
      </w:r>
      <w:r>
        <w:rPr>
          <w:rFonts w:ascii="Arial" w:cs="Arial" w:eastAsia="Arial" w:hAnsi="Arial"/>
          <w:sz w:val="17"/>
          <w:szCs w:val="17"/>
          <w:color w:val="auto"/>
        </w:rPr>
        <w:t>020572, an ASO drug candidate, and ALG</w:t>
      </w:r>
      <w:r>
        <w:rPr>
          <w:rFonts w:ascii="MS PGothic" w:cs="MS PGothic" w:eastAsia="MS PGothic" w:hAnsi="MS PGothic"/>
          <w:sz w:val="17"/>
          <w:szCs w:val="17"/>
          <w:color w:val="auto"/>
        </w:rPr>
        <w:t>‑</w:t>
      </w:r>
      <w:r>
        <w:rPr>
          <w:rFonts w:ascii="Arial" w:cs="Arial" w:eastAsia="Arial" w:hAnsi="Arial"/>
          <w:sz w:val="17"/>
          <w:szCs w:val="17"/>
          <w:color w:val="auto"/>
        </w:rPr>
        <w:t>125755, an siRNA drug candidate. In addition, we are leveraging our oligonucleotide platform to develop drug candidates for other diseases, which includes entering into two collaborations with Merck to discover and develop oligonucleotides against two undisclosed targets for the treatment of NASH.</w:t>
      </w:r>
    </w:p>
    <w:p>
      <w:pPr>
        <w:spacing w:after="0" w:line="83" w:lineRule="exact"/>
        <w:rPr>
          <w:sz w:val="20"/>
          <w:szCs w:val="20"/>
          <w:color w:val="auto"/>
        </w:rPr>
      </w:pPr>
    </w:p>
    <w:p>
      <w:pPr>
        <w:ind w:right="460" w:firstLine="509"/>
        <w:spacing w:after="0" w:line="248" w:lineRule="auto"/>
        <w:rPr>
          <w:sz w:val="20"/>
          <w:szCs w:val="20"/>
          <w:color w:val="auto"/>
        </w:rPr>
      </w:pPr>
      <w:r>
        <w:rPr>
          <w:rFonts w:ascii="Arial" w:cs="Arial" w:eastAsia="Arial" w:hAnsi="Arial"/>
          <w:sz w:val="18"/>
          <w:szCs w:val="18"/>
          <w:color w:val="auto"/>
        </w:rPr>
        <w:t>We have exclusively licensed proprietary technologies that enhance our oligonucleotide platform. These technologies include third generation bridged nucleic acid (BNA) and N-acetylgalactosamine (GalNAc) chemistries, which can improve liver targeting, increase potency and enhance pharmacokinetic properties.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Antisense oligonucleotides (ASOs)</w:t>
      </w:r>
    </w:p>
    <w:p>
      <w:pPr>
        <w:spacing w:after="0" w:line="104" w:lineRule="exact"/>
        <w:rPr>
          <w:sz w:val="20"/>
          <w:szCs w:val="20"/>
          <w:color w:val="auto"/>
        </w:rPr>
      </w:pPr>
    </w:p>
    <w:p>
      <w:pPr>
        <w:ind w:firstLine="509"/>
        <w:spacing w:after="0" w:line="209" w:lineRule="exact"/>
        <w:rPr>
          <w:sz w:val="20"/>
          <w:szCs w:val="20"/>
          <w:color w:val="auto"/>
        </w:rPr>
      </w:pPr>
      <w:r>
        <w:rPr>
          <w:rFonts w:ascii="Arial" w:cs="Arial" w:eastAsia="Arial" w:hAnsi="Arial"/>
          <w:sz w:val="18"/>
          <w:szCs w:val="18"/>
          <w:color w:val="auto"/>
        </w:rPr>
        <w:t>ASOs are single-stranded DNA or RNA molecules that interfere with viral replication by binding to complementary messenger RNA (mRNA), allowing the combined ASO and mRNA to be degraded by the enzyme RNase H. This technology has been validated across multiple indications, including CHB, where significant reductions in viral markers have been observed. We have discovered potent, liver-targeted ASOs, including ALG</w:t>
      </w:r>
      <w:r>
        <w:rPr>
          <w:rFonts w:ascii="MS PGothic" w:cs="MS PGothic" w:eastAsia="MS PGothic" w:hAnsi="MS PGothic"/>
          <w:sz w:val="18"/>
          <w:szCs w:val="18"/>
          <w:color w:val="auto"/>
        </w:rPr>
        <w:t>‑</w:t>
      </w:r>
      <w:r>
        <w:rPr>
          <w:rFonts w:ascii="Arial" w:cs="Arial" w:eastAsia="Arial" w:hAnsi="Arial"/>
          <w:sz w:val="18"/>
          <w:szCs w:val="18"/>
          <w:color w:val="auto"/>
        </w:rPr>
        <w:t>020572, which has demonstrated a promising profile in nonclinical CHB models.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Small interfering RNAs (siRNAs)</w:t>
      </w:r>
    </w:p>
    <w:p>
      <w:pPr>
        <w:spacing w:after="0" w:line="104" w:lineRule="exact"/>
        <w:rPr>
          <w:sz w:val="20"/>
          <w:szCs w:val="20"/>
          <w:color w:val="auto"/>
        </w:rPr>
      </w:pPr>
    </w:p>
    <w:p>
      <w:pPr>
        <w:ind w:right="180" w:firstLine="509"/>
        <w:spacing w:after="0" w:line="212" w:lineRule="exact"/>
        <w:rPr>
          <w:sz w:val="20"/>
          <w:szCs w:val="20"/>
          <w:color w:val="auto"/>
        </w:rPr>
      </w:pPr>
      <w:r>
        <w:rPr>
          <w:rFonts w:ascii="Arial" w:cs="Arial" w:eastAsia="Arial" w:hAnsi="Arial"/>
          <w:sz w:val="17"/>
          <w:szCs w:val="17"/>
          <w:color w:val="auto"/>
        </w:rPr>
        <w:t>siRNAs are a class of double-stranded, non-coding RNA that interferes with viral replication by silencing gene expression. Multiple siRNAs have demonstrated significant reductions in HBsAg levels in clinical trials. Our novel and proprietary siRNA technology has resulted in the identification of molecules, including ALG</w:t>
      </w:r>
      <w:r>
        <w:rPr>
          <w:rFonts w:ascii="MS PGothic" w:cs="MS PGothic" w:eastAsia="MS PGothic" w:hAnsi="MS PGothic"/>
          <w:sz w:val="17"/>
          <w:szCs w:val="17"/>
          <w:color w:val="auto"/>
        </w:rPr>
        <w:t>‑</w:t>
      </w:r>
      <w:r>
        <w:rPr>
          <w:rFonts w:ascii="Arial" w:cs="Arial" w:eastAsia="Arial" w:hAnsi="Arial"/>
          <w:sz w:val="17"/>
          <w:szCs w:val="17"/>
          <w:color w:val="auto"/>
        </w:rPr>
        <w:t>125755, that have demonstrated high potency and long-lasting durability in nonclinical CHB models.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Small molecule platform</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Our team has the capability and experience to rapidly identify and optimize small molecules, including traditional small molecules, peptidomimetics and prodrugs. Our team has a strong track record of developing and commercializing small molecule drug candidates. We use state-of-the-art computational chemistry and crystallography to enable structure-guided drug design. We have applied this approach to the multidimensional optimization of potential drug candidates in multiple therapeutic areas, including for viral and liver diseases.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Traditional small molecules</w:t>
      </w:r>
    </w:p>
    <w:p>
      <w:pPr>
        <w:spacing w:after="0" w:line="104" w:lineRule="exact"/>
        <w:rPr>
          <w:sz w:val="20"/>
          <w:szCs w:val="20"/>
          <w:color w:val="auto"/>
        </w:rPr>
      </w:pPr>
    </w:p>
    <w:p>
      <w:pPr>
        <w:ind w:right="100" w:firstLine="509"/>
        <w:spacing w:after="0" w:line="206" w:lineRule="exact"/>
        <w:rPr>
          <w:sz w:val="20"/>
          <w:szCs w:val="20"/>
          <w:color w:val="auto"/>
        </w:rPr>
      </w:pPr>
      <w:r>
        <w:rPr>
          <w:rFonts w:ascii="Arial" w:cs="Arial" w:eastAsia="Arial" w:hAnsi="Arial"/>
          <w:sz w:val="16"/>
          <w:szCs w:val="16"/>
          <w:color w:val="auto"/>
        </w:rPr>
        <w:t>To date, traditional small molecules represent the vast majority of approved drugs and are the primary chemistry approach used for drug discovery. CAMs are small molecules that have been shown to significantly reduce viral markers in CHB patients in clinical studies. Applying our small molecule platform, we have identified ALG</w:t>
      </w:r>
      <w:r>
        <w:rPr>
          <w:rFonts w:ascii="MS PGothic" w:cs="MS PGothic" w:eastAsia="MS PGothic" w:hAnsi="MS PGothic"/>
          <w:sz w:val="16"/>
          <w:szCs w:val="16"/>
          <w:color w:val="auto"/>
        </w:rPr>
        <w:t>‑</w:t>
      </w:r>
      <w:r>
        <w:rPr>
          <w:rFonts w:ascii="Arial" w:cs="Arial" w:eastAsia="Arial" w:hAnsi="Arial"/>
          <w:sz w:val="16"/>
          <w:szCs w:val="16"/>
          <w:color w:val="auto"/>
        </w:rPr>
        <w:t>001075, which has demonstrated improved in vitro potency and increased efficacy in nonclinical animal models, as compared to other CAM candidates that have advanced into the clinic. ALG</w:t>
      </w:r>
      <w:r>
        <w:rPr>
          <w:rFonts w:ascii="MS PGothic" w:cs="MS PGothic" w:eastAsia="MS PGothic" w:hAnsi="MS PGothic"/>
          <w:sz w:val="16"/>
          <w:szCs w:val="16"/>
          <w:color w:val="auto"/>
        </w:rPr>
        <w:t>‑</w:t>
      </w:r>
      <w:r>
        <w:rPr>
          <w:rFonts w:ascii="Arial" w:cs="Arial" w:eastAsia="Arial" w:hAnsi="Arial"/>
          <w:sz w:val="16"/>
          <w:szCs w:val="16"/>
          <w:color w:val="auto"/>
        </w:rPr>
        <w:t>001075 is currently being evaluated in a Phase 1 study as the prodrug ALG</w:t>
      </w:r>
      <w:r>
        <w:rPr>
          <w:rFonts w:ascii="MS PGothic" w:cs="MS PGothic" w:eastAsia="MS PGothic" w:hAnsi="MS PGothic"/>
          <w:sz w:val="16"/>
          <w:szCs w:val="16"/>
          <w:color w:val="auto"/>
        </w:rPr>
        <w:t>‑</w:t>
      </w:r>
      <w:r>
        <w:rPr>
          <w:rFonts w:ascii="Arial" w:cs="Arial" w:eastAsia="Arial" w:hAnsi="Arial"/>
          <w:sz w:val="16"/>
          <w:szCs w:val="16"/>
          <w:color w:val="auto"/>
        </w:rPr>
        <w:t>000184, where it continues to show best in class properties. THR-b agonists are small molecules that have been shown to significantly reduce circulating lipid levels and improve liver histology in patients with NASH. We have discovered ALG</w:t>
      </w:r>
      <w:r>
        <w:rPr>
          <w:rFonts w:ascii="MS PGothic" w:cs="MS PGothic" w:eastAsia="MS PGothic" w:hAnsi="MS PGothic"/>
          <w:sz w:val="16"/>
          <w:szCs w:val="16"/>
          <w:color w:val="auto"/>
        </w:rPr>
        <w:t>‑</w:t>
      </w:r>
      <w:r>
        <w:rPr>
          <w:rFonts w:ascii="Arial" w:cs="Arial" w:eastAsia="Arial" w:hAnsi="Arial"/>
          <w:sz w:val="16"/>
          <w:szCs w:val="16"/>
          <w:color w:val="auto"/>
        </w:rPr>
        <w:t>055009, a THR-b agonist that has demonstrated improved potency in vitro and increased efficacy in nonclinical animal models relative to other THR-b agonists in Phase 2 or later stages of development. We have recently advanced ALG-055009 into a Phase 1a/1b study and are currently dosing in both HVs and subjects with hyperlipidemia.</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Peptidomimetics</w:t>
      </w:r>
    </w:p>
    <w:p>
      <w:pPr>
        <w:spacing w:after="0" w:line="104"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Peptidomimetics are small molecules derived from short polypeptides that can be used as drug candidates against multiple targets. The peptidomimetic approach has been successfully used in the antiviral field to develop protease inhibitor drugs against Hepatitis C virus (HCV) and human immunodeficiency virus (HIV). Our team has discovered multiple potential nanomolar potency drug candidates targeting the 3C-like protease of coronaviruses, which have shown pan-coronavirus activity and do not require ritonavir boosting based on nonclinical studies. We plan to begin Phase 1 enabling nonclinical studies with one of our COVID PIs in the third quarter of 2022.</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22"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Small molecule prodrugs</w:t>
      </w:r>
    </w:p>
    <w:p>
      <w:pPr>
        <w:spacing w:after="0" w:line="104" w:lineRule="exact"/>
        <w:rPr>
          <w:sz w:val="20"/>
          <w:szCs w:val="20"/>
          <w:color w:val="auto"/>
        </w:rPr>
      </w:pPr>
    </w:p>
    <w:p>
      <w:pPr>
        <w:ind w:right="240" w:firstLine="509"/>
        <w:spacing w:after="0" w:line="209" w:lineRule="exact"/>
        <w:rPr>
          <w:sz w:val="20"/>
          <w:szCs w:val="20"/>
          <w:color w:val="auto"/>
        </w:rPr>
      </w:pPr>
      <w:r>
        <w:rPr>
          <w:rFonts w:ascii="Arial" w:cs="Arial" w:eastAsia="Arial" w:hAnsi="Arial"/>
          <w:sz w:val="18"/>
          <w:szCs w:val="18"/>
          <w:color w:val="auto"/>
        </w:rPr>
        <w:t>A prodrug is a compound that, after administration, is metabolized into the pharmacologically active parent drug. We use small molecule prodrug chemistry to optimize the drug-like properties of drug candidates to improve their solubility and pharmacokinetics. We have successfully applied this approach to ALG</w:t>
      </w:r>
      <w:r>
        <w:rPr>
          <w:rFonts w:ascii="MS PGothic" w:cs="MS PGothic" w:eastAsia="MS PGothic" w:hAnsi="MS PGothic"/>
          <w:sz w:val="18"/>
          <w:szCs w:val="18"/>
          <w:color w:val="auto"/>
        </w:rPr>
        <w:t>‑</w:t>
      </w:r>
      <w:r>
        <w:rPr>
          <w:rFonts w:ascii="Arial" w:cs="Arial" w:eastAsia="Arial" w:hAnsi="Arial"/>
          <w:sz w:val="18"/>
          <w:szCs w:val="18"/>
          <w:color w:val="auto"/>
        </w:rPr>
        <w:t>001075 to create ALG</w:t>
      </w:r>
      <w:r>
        <w:rPr>
          <w:rFonts w:ascii="MS PGothic" w:cs="MS PGothic" w:eastAsia="MS PGothic" w:hAnsi="MS PGothic"/>
          <w:sz w:val="18"/>
          <w:szCs w:val="18"/>
          <w:color w:val="auto"/>
        </w:rPr>
        <w:t>‑</w:t>
      </w:r>
      <w:r>
        <w:rPr>
          <w:rFonts w:ascii="Arial" w:cs="Arial" w:eastAsia="Arial" w:hAnsi="Arial"/>
          <w:sz w:val="18"/>
          <w:szCs w:val="18"/>
          <w:color w:val="auto"/>
        </w:rPr>
        <w:t>000184, which is our lead CAM drug candidate, and which is currently being evaluated in the clinic for the treatment of CHB.</w:t>
      </w:r>
    </w:p>
    <w:p>
      <w:pPr>
        <w:spacing w:after="0" w:line="83"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We are engaged in multiple other small molecule discovery efforts to identify additional potentially best-in-class drug candidates for the treatment of CHB, NASH and coronaviruses.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approach to developing potentially best-in-class therapeutic combinations</w:t>
      </w:r>
    </w:p>
    <w:p>
      <w:pPr>
        <w:spacing w:after="0" w:line="104" w:lineRule="exact"/>
        <w:rPr>
          <w:sz w:val="20"/>
          <w:szCs w:val="20"/>
          <w:color w:val="auto"/>
        </w:rPr>
      </w:pPr>
    </w:p>
    <w:p>
      <w:pPr>
        <w:ind w:right="40" w:firstLine="509"/>
        <w:spacing w:after="0" w:line="272" w:lineRule="auto"/>
        <w:rPr>
          <w:sz w:val="20"/>
          <w:szCs w:val="20"/>
          <w:color w:val="auto"/>
        </w:rPr>
      </w:pPr>
      <w:r>
        <w:rPr>
          <w:rFonts w:ascii="Arial" w:cs="Arial" w:eastAsia="Arial" w:hAnsi="Arial"/>
          <w:sz w:val="16"/>
          <w:szCs w:val="16"/>
          <w:color w:val="auto"/>
        </w:rPr>
        <w:t>Our approach to developing potentially best-in-class regimens for our therapeutic areas of interest leverages the most promising modalities from our oligonucleotide and small molecule platforms to advance rapidly from monotherapy Phase 1 trials into Phase 2 combination trials. As a first step, we evaluate the safety and activity of each drug candidate in healthy volunteers and patients with the disease of interest. We intend to then efficiently evaluate drug candidates shown to have activity in Phase 1 in various combinations in Phase 2 platform protocols to enable us to identify optimized combination regimens that will then be evaluated in Phase 3 pivotal trials. The combinations we evaluate may include additional drug candidates or current standard of care. Throughout all phases of clinical development, pre-specified adaptive study rules allow real-time adjustment of trial conduct based on emerging clinical trial data. These practices allow us to gain a rapid understanding of the risk/benefit profile for our individual drug candidates and combination regimens, and iteratively refine our strategy based on emerging data. This approach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132715</wp:posOffset>
            </wp:positionV>
            <wp:extent cx="5143500" cy="1671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108"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We are focused on viral and liver diseases, areas in which our employees have expertise and decades of experience. Our most advanced drug candidates are designed for use in CHB to achieve higher rates of functional cure, which we believe will require the use of a combination of drugs with complementary mechanisms of action (MOA). Each of our CHB modalities plays an important role in disrupting the HBV life cycle and, in nonclinical studies, certain combinations have been shown to act additively or synergistically. We are also advancing a THR-ß agonist for NASH and a COVID-PI for the treatment of COVID-19. We also have a collaboration with Merck to discover and develop oligonucleotides against two undisclosed targets for the treatment of NASH. As with CHB, we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 w:name="page14"/>
    <w:bookmarkEnd w:id="13"/>
    <w:p>
      <w:pPr>
        <w:ind w:right="20"/>
        <w:spacing w:after="0" w:line="261" w:lineRule="auto"/>
        <w:rPr>
          <w:sz w:val="20"/>
          <w:szCs w:val="20"/>
          <w:color w:val="auto"/>
        </w:rPr>
      </w:pPr>
      <w:r>
        <w:rPr>
          <w:rFonts w:ascii="Arial" w:cs="Arial" w:eastAsia="Arial" w:hAnsi="Arial"/>
          <w:sz w:val="18"/>
          <w:szCs w:val="18"/>
          <w:color w:val="auto"/>
        </w:rPr>
        <w:t>believe combination therapy will be critical for improved patient outcomes in these disease settings and intend to combine our drug candidates with others that have potentially complementary MOAs.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-19050</wp:posOffset>
            </wp:positionV>
            <wp:extent cx="5349240" cy="2374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924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cure for CHB</w:t>
      </w:r>
    </w:p>
    <w:p>
      <w:pPr>
        <w:spacing w:after="0" w:line="108"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CHB is the most common viral infection in the world and an area of substantial unmet medical need. There are over 290 million chronic carriers worldwide and approximately 30 million individuals become newly infected every year despite the availability of an efficacious prophylactic vaccine. In 2015, there were more than 90 million cases of CHB in China alone, while the EU, United States and Japan accounted for nearly 8 million cases. Complications from CHB include cirrhosis, end-stage liver disease, and hepatocellular carcinoma, which collectively resulted in approximately 900,000 deaths in 2015, according to the World Health Organization. CHB is the primary cause of liver cancer worldwide, and the mortality associated with HBV-related liver cancer continues to increase.</w:t>
      </w:r>
    </w:p>
    <w:p>
      <w:pPr>
        <w:spacing w:after="0" w:line="81"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Current therapy for CHB may entail life-long treatment and does not eliminate the virus in a meaningful number of patients. In the case of nucleos(t)ide analogs, long-term treatment can lower the amount of HBV DNA in circulation, resulting in improvements in long-term disease outcomes, but virological relapse is common after treatment cessation. Our goal is to achieve meaningful rates of functional cure, which is defined as a sustained loss of HBsAg and HBV DNA with or without hepatitis B surface antibody seroconversion after a finite treatment</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36" w:right="439" w:bottom="1440" w:gutter="0" w:footer="0" w:header="0"/>
        </w:sectPr>
      </w:pPr>
    </w:p>
    <w:bookmarkStart w:id="14" w:name="page15"/>
    <w:bookmarkEnd w:id="14"/>
    <w:p>
      <w:pPr>
        <w:ind w:right="900"/>
        <w:spacing w:after="0" w:line="261" w:lineRule="auto"/>
        <w:rPr>
          <w:sz w:val="20"/>
          <w:szCs w:val="20"/>
          <w:color w:val="auto"/>
        </w:rPr>
      </w:pPr>
      <w:r>
        <w:rPr>
          <w:rFonts w:ascii="Arial" w:cs="Arial" w:eastAsia="Arial" w:hAnsi="Arial"/>
          <w:sz w:val="18"/>
          <w:szCs w:val="18"/>
          <w:color w:val="auto"/>
        </w:rPr>
        <w:t>course. Our team’s years of experience in antiviral drug development suggest that only by developing a combination regimen targeting multiple mechanisms can meaningful functional cure rates for CHB be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5349240" cy="2272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HBV is a small DNA virus consisting of a nucleocapsid in which the viral DNA is packaged together with the HBV polymerase by the hepatitis B core protein and a membranous envelope containing HBsAg. After infection of liver cells, HBV DNA is transformed in the nucleus into a stable viral mini-chromosome, which is composed of a cccDNA molecule, from which mRNAs encoding viral proteins are transcribed, and pgRNA, the template for the formation of new viral DNA genomes by reverse transcription. Parts of the viral genome can integrate into the host genome, which is thought to contribute to the production of HBsAg in chronically infected patients and play an important role in liver carcinogenesis, but the integrated viral genome does not produce infectious virus. HBsAg is known to prevent immune-mediated clearance of infected liver cells. HBsAg seroclearance correlates with significant decreases in cccDNA levels and implies immune control of HBV, indicating the need to reduce HBsAg to achieve functional cure.</w:t>
      </w:r>
    </w:p>
    <w:p>
      <w:pPr>
        <w:spacing w:after="0" w:line="55"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We have developed a portfolio of differentiated drug candidates for CHB, including a small molecule CAM and oligonucleotides (ASO and siRNA), each of which are designed to interfere with multiple clinically validated targets in the HBV life cycle and may lead to higher rates of functional cure when used in combination.</w:t>
      </w:r>
    </w:p>
    <w:p>
      <w:pPr>
        <w:spacing w:after="0" w:line="7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ALG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000184 (CAM) for CHB</w:t>
      </w:r>
    </w:p>
    <w:p>
      <w:pPr>
        <w:spacing w:after="0" w:line="104" w:lineRule="exact"/>
        <w:rPr>
          <w:sz w:val="20"/>
          <w:szCs w:val="20"/>
          <w:color w:val="auto"/>
        </w:rPr>
      </w:pPr>
    </w:p>
    <w:p>
      <w:pPr>
        <w:ind w:right="340" w:firstLine="509"/>
        <w:spacing w:after="0" w:line="243" w:lineRule="auto"/>
        <w:rPr>
          <w:sz w:val="20"/>
          <w:szCs w:val="20"/>
          <w:color w:val="auto"/>
        </w:rPr>
      </w:pPr>
      <w:r>
        <w:rPr>
          <w:rFonts w:ascii="Arial" w:cs="Arial" w:eastAsia="Arial" w:hAnsi="Arial"/>
          <w:sz w:val="18"/>
          <w:szCs w:val="18"/>
          <w:color w:val="auto"/>
        </w:rPr>
        <w:t>CAMs are a class of small molecule antiviral agents that accelerate HBV capsid assembly and inhibit pgRNA encapsidation, resulting in lower circulating HBV pgRNA and DNA levels. CAMs are also believed to regulate the formation of cccDNA at the onset of infection, a major factor for the persistence of HBV infection. In clinical trials, CAMs have been shown to provide greater HBV DNA and RNA reduction when combined with nucleos(t)ide analogs than can be achieved with nucleos(t)ide analogs alone.</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2018, we in-licensed a lead drug candidate (GLP-26) and the associated IP for a CAM from the laboratory of Professor Raymond Schinazi at</w:t>
      </w:r>
    </w:p>
    <w:p>
      <w:pPr>
        <w:spacing w:after="0" w:line="35"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Emory. Our scientists optimized this lead drug candidate to discover the potent CAM, ALG</w:t>
      </w:r>
      <w:r>
        <w:rPr>
          <w:rFonts w:ascii="MS PGothic" w:cs="MS PGothic" w:eastAsia="MS PGothic" w:hAnsi="MS PGothic"/>
          <w:sz w:val="17"/>
          <w:szCs w:val="17"/>
          <w:color w:val="auto"/>
        </w:rPr>
        <w:t>‑</w:t>
      </w:r>
      <w:r>
        <w:rPr>
          <w:rFonts w:ascii="Arial" w:cs="Arial" w:eastAsia="Arial" w:hAnsi="Arial"/>
          <w:sz w:val="17"/>
          <w:szCs w:val="17"/>
          <w:color w:val="auto"/>
        </w:rPr>
        <w:t>001075, which was further optimized to the prodrug</w:t>
      </w:r>
    </w:p>
    <w:p>
      <w:pPr>
        <w:spacing w:after="0" w:line="7"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ALG</w:t>
      </w:r>
      <w:r>
        <w:rPr>
          <w:rFonts w:ascii="MS PGothic" w:cs="MS PGothic" w:eastAsia="MS PGothic" w:hAnsi="MS PGothic"/>
          <w:sz w:val="16"/>
          <w:szCs w:val="16"/>
          <w:color w:val="auto"/>
        </w:rPr>
        <w:t>‑</w:t>
      </w:r>
      <w:r>
        <w:rPr>
          <w:rFonts w:ascii="Arial" w:cs="Arial" w:eastAsia="Arial" w:hAnsi="Arial"/>
          <w:sz w:val="16"/>
          <w:szCs w:val="16"/>
          <w:color w:val="auto"/>
        </w:rPr>
        <w:t>000184. Initial Phase 1a studies in healthy volunteers for ALG-000184 have been completed. A Phase 1b dose range finding study, evaluating the</w:t>
      </w:r>
    </w:p>
    <w:p>
      <w:pPr>
        <w:spacing w:after="0" w:line="19"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properties of ALG</w:t>
      </w:r>
      <w:r>
        <w:rPr>
          <w:rFonts w:ascii="MS PGothic" w:cs="MS PGothic" w:eastAsia="MS PGothic" w:hAnsi="MS PGothic"/>
          <w:sz w:val="17"/>
          <w:szCs w:val="17"/>
          <w:color w:val="auto"/>
        </w:rPr>
        <w:t>‑</w:t>
      </w:r>
      <w:r>
        <w:rPr>
          <w:rFonts w:ascii="Arial" w:cs="Arial" w:eastAsia="Arial" w:hAnsi="Arial"/>
          <w:sz w:val="17"/>
          <w:szCs w:val="17"/>
          <w:color w:val="auto"/>
        </w:rPr>
        <w:t>000184 as monotherapy in CHB patients, is approved in many countries, including New Zealand, Hong Kong, the United Kingdom,</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South Korea, China and Moldova, and dosing in CHB patients is ongoing. Preliminary data, as of January 28, 2022, in both HVs and CHB subjects indicate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ALG-000184 has a predictable, dose proportional PK profile and was well tolerated. Specifically, one unrelated SAE (hospitalization for management of</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pre-existing back pain) and no TEAEs leading to discontinuation or concerning trends or findings based on TEAEs, laboratories, or EKGs have been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reported to date. Additionally, antiviral activity data, collected as of January 28, 2022, indicated that ALG-000184 resulted in robust inhibition of HBV</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DNA and RNA (see figure below), which appeared to have best in class potential when compared to competitor drug candidates with available antiviral</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activity data. Among HBeAg negative subjects receiving 100 mg (Cohort 1) or 50 mg (Cohort 2) ALG-000184 for 28 days, ~3-4 log</w:t>
      </w:r>
      <w:r>
        <w:rPr>
          <w:rFonts w:ascii="Arial" w:cs="Arial" w:eastAsia="Arial" w:hAnsi="Arial"/>
          <w:sz w:val="12"/>
          <w:szCs w:val="12"/>
          <w:color w:val="auto"/>
        </w:rPr>
        <w:t>10</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 w:name="page16"/>
    <w:bookmarkEnd w:id="15"/>
    <w:p>
      <w:pPr>
        <w:spacing w:after="0" w:line="257" w:lineRule="auto"/>
        <w:rPr>
          <w:sz w:val="20"/>
          <w:szCs w:val="20"/>
          <w:color w:val="auto"/>
        </w:rPr>
      </w:pPr>
      <w:r>
        <w:rPr>
          <w:rFonts w:ascii="Arial" w:cs="Arial" w:eastAsia="Arial" w:hAnsi="Arial"/>
          <w:sz w:val="17"/>
          <w:szCs w:val="17"/>
          <w:color w:val="auto"/>
        </w:rPr>
        <w:t>IU/mL declines in HBV DNA and ~1.5-2 log</w:t>
      </w:r>
      <w:r>
        <w:rPr>
          <w:rFonts w:ascii="Arial" w:cs="Arial" w:eastAsia="Arial" w:hAnsi="Arial"/>
          <w:sz w:val="11"/>
          <w:szCs w:val="11"/>
          <w:color w:val="auto"/>
        </w:rPr>
        <w:t>10</w:t>
      </w:r>
      <w:r>
        <w:rPr>
          <w:rFonts w:ascii="Arial" w:cs="Arial" w:eastAsia="Arial" w:hAnsi="Arial"/>
          <w:sz w:val="17"/>
          <w:szCs w:val="17"/>
          <w:color w:val="auto"/>
        </w:rPr>
        <w:t xml:space="preserve"> copies/mL declines in RNA were observed with ≥75% and 100% of subjects reaching levels &lt;LLOQ for DNA and RNA, respectively. Similarly robust antiviral activity has been observed in HBeAg positive subjects who received 100 mg ALG-000184 for 28 days, where &gt;4 log10 IU/mL and &gt;3 log10 IU/mL declines in DNA and RNA, respectively, were observed. Dosing in two additional cohorts, which are evaluating the 10 mg and 300 mg dose levels for 28 days, is ongoing and, if these data prove sufficiently favorable, we further plan to evaluate the safety and antiviral activity of ALG-000184 dosing in CHB patients for 12-week durations in the second half of 2022. In the future, we may also conduct clinical trials for ALG-000184 and other drug candidates in other countries and territories.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51435</wp:posOffset>
            </wp:positionV>
            <wp:extent cx="5349240" cy="2837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Molecular characteristics and nonclinical data</w:t>
      </w:r>
    </w:p>
    <w:p>
      <w:pPr>
        <w:spacing w:after="0" w:line="104" w:lineRule="exact"/>
        <w:rPr>
          <w:sz w:val="20"/>
          <w:szCs w:val="20"/>
          <w:color w:val="auto"/>
        </w:rPr>
      </w:pPr>
    </w:p>
    <w:p>
      <w:pPr>
        <w:ind w:right="60" w:firstLine="509"/>
        <w:spacing w:after="0" w:line="208" w:lineRule="exact"/>
        <w:rPr>
          <w:sz w:val="20"/>
          <w:szCs w:val="20"/>
          <w:color w:val="auto"/>
        </w:rPr>
      </w:pPr>
      <w:r>
        <w:rPr>
          <w:rFonts w:ascii="Arial" w:cs="Arial" w:eastAsia="Arial" w:hAnsi="Arial"/>
          <w:sz w:val="18"/>
          <w:szCs w:val="18"/>
          <w:color w:val="auto"/>
        </w:rPr>
        <w:t>In biochemical assays, ALG</w:t>
      </w:r>
      <w:r>
        <w:rPr>
          <w:rFonts w:ascii="MS PGothic" w:cs="MS PGothic" w:eastAsia="MS PGothic" w:hAnsi="MS PGothic"/>
          <w:sz w:val="18"/>
          <w:szCs w:val="18"/>
          <w:color w:val="auto"/>
        </w:rPr>
        <w:t>‑</w:t>
      </w:r>
      <w:r>
        <w:rPr>
          <w:rFonts w:ascii="Arial" w:cs="Arial" w:eastAsia="Arial" w:hAnsi="Arial"/>
          <w:sz w:val="18"/>
          <w:szCs w:val="18"/>
          <w:color w:val="auto"/>
        </w:rPr>
        <w:t>001075 was shown to induce the rapid assembly of core proteins into small, spherical capsids. Capsids assembled in the presence of ALG</w:t>
      </w:r>
      <w:r>
        <w:rPr>
          <w:rFonts w:ascii="MS PGothic" w:cs="MS PGothic" w:eastAsia="MS PGothic" w:hAnsi="MS PGothic"/>
          <w:sz w:val="18"/>
          <w:szCs w:val="18"/>
          <w:color w:val="auto"/>
        </w:rPr>
        <w:t>‑</w:t>
      </w:r>
      <w:r>
        <w:rPr>
          <w:rFonts w:ascii="Arial" w:cs="Arial" w:eastAsia="Arial" w:hAnsi="Arial"/>
          <w:sz w:val="18"/>
          <w:szCs w:val="18"/>
          <w:color w:val="auto"/>
        </w:rPr>
        <w:t>001075 were highly stable with a compound residence time of more than 16 hours. In assays using genotype D HBV infected HepG2.2.15 cells, ALG</w:t>
      </w:r>
      <w:r>
        <w:rPr>
          <w:rFonts w:ascii="MS PGothic" w:cs="MS PGothic" w:eastAsia="MS PGothic" w:hAnsi="MS PGothic"/>
          <w:sz w:val="18"/>
          <w:szCs w:val="18"/>
          <w:color w:val="auto"/>
        </w:rPr>
        <w:t>‑</w:t>
      </w:r>
      <w:r>
        <w:rPr>
          <w:rFonts w:ascii="Arial" w:cs="Arial" w:eastAsia="Arial" w:hAnsi="Arial"/>
          <w:sz w:val="18"/>
          <w:szCs w:val="18"/>
          <w:color w:val="auto"/>
        </w:rPr>
        <w:t>001075 demonstrated enhanced potency with an EC</w:t>
      </w:r>
      <w:r>
        <w:rPr>
          <w:rFonts w:ascii="Arial" w:cs="Arial" w:eastAsia="Arial" w:hAnsi="Arial"/>
          <w:sz w:val="12"/>
          <w:szCs w:val="12"/>
          <w:color w:val="auto"/>
        </w:rPr>
        <w:t>50</w:t>
      </w:r>
      <w:r>
        <w:rPr>
          <w:rFonts w:ascii="Arial" w:cs="Arial" w:eastAsia="Arial" w:hAnsi="Arial"/>
          <w:sz w:val="18"/>
          <w:szCs w:val="18"/>
          <w:color w:val="auto"/>
        </w:rPr>
        <w:t xml:space="preserve"> value of 0.53 nM compared to several CAM reference compounds. This finding was repeated in HepG2.117 cells where ALG-001075 had an EC</w:t>
      </w:r>
      <w:r>
        <w:rPr>
          <w:rFonts w:ascii="Arial" w:cs="Arial" w:eastAsia="Arial" w:hAnsi="Arial"/>
          <w:sz w:val="12"/>
          <w:szCs w:val="12"/>
          <w:color w:val="auto"/>
        </w:rPr>
        <w:t>50</w:t>
      </w:r>
      <w:r>
        <w:rPr>
          <w:rFonts w:ascii="Arial" w:cs="Arial" w:eastAsia="Arial" w:hAnsi="Arial"/>
          <w:sz w:val="18"/>
          <w:szCs w:val="18"/>
          <w:color w:val="auto"/>
        </w:rPr>
        <w:t xml:space="preserve"> value of 0.63 nM. This level of potency exceeds that of all other known CAMs that have entered clinical development.</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36" w:right="4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1082675</wp:posOffset>
            </wp:positionH>
            <wp:positionV relativeFrom="page">
              <wp:posOffset>346075</wp:posOffset>
            </wp:positionV>
            <wp:extent cx="5349240" cy="4577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9240" cy="457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509"/>
        <w:spacing w:after="0" w:line="216" w:lineRule="exact"/>
        <w:rPr>
          <w:sz w:val="20"/>
          <w:szCs w:val="20"/>
          <w:color w:val="auto"/>
        </w:rPr>
      </w:pPr>
      <w:r>
        <w:rPr>
          <w:rFonts w:ascii="Arial" w:cs="Arial" w:eastAsia="Arial" w:hAnsi="Arial"/>
          <w:sz w:val="18"/>
          <w:szCs w:val="18"/>
          <w:color w:val="auto"/>
        </w:rPr>
        <w:t>ALG</w:t>
      </w:r>
      <w:r>
        <w:rPr>
          <w:rFonts w:ascii="MS PGothic" w:cs="MS PGothic" w:eastAsia="MS PGothic" w:hAnsi="MS PGothic"/>
          <w:sz w:val="18"/>
          <w:szCs w:val="18"/>
          <w:color w:val="auto"/>
        </w:rPr>
        <w:t>‑</w:t>
      </w:r>
      <w:r>
        <w:rPr>
          <w:rFonts w:ascii="Arial" w:cs="Arial" w:eastAsia="Arial" w:hAnsi="Arial"/>
          <w:sz w:val="18"/>
          <w:szCs w:val="18"/>
          <w:color w:val="auto"/>
        </w:rPr>
        <w:t>001075 was further tested in a transient HBV assay against a broad panel of HBV screens from genotypes A through J and was shown to maintain good activity against all genotypes tested except for certain genotypes with known CAM-resistant mutations.</w:t>
      </w:r>
    </w:p>
    <w:p>
      <w:pPr>
        <w:spacing w:after="0" w:line="19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440" w:right="779" w:bottom="1440" w:gutter="0" w:footer="0" w:header="0"/>
        </w:sectPr>
      </w:pPr>
    </w:p>
    <w:bookmarkStart w:id="17" w:name="page18"/>
    <w:bookmarkEnd w:id="17"/>
    <w:p>
      <w:pPr>
        <w:ind w:firstLine="509"/>
        <w:spacing w:after="0" w:line="216" w:lineRule="exact"/>
        <w:rPr>
          <w:sz w:val="20"/>
          <w:szCs w:val="20"/>
          <w:color w:val="auto"/>
        </w:rPr>
      </w:pPr>
      <w:r>
        <w:rPr>
          <w:rFonts w:ascii="Arial" w:cs="Arial" w:eastAsia="Arial" w:hAnsi="Arial"/>
          <w:sz w:val="18"/>
          <w:szCs w:val="18"/>
          <w:color w:val="auto"/>
        </w:rPr>
        <w:t>In the AAV-HBV mouse efficacy model, ALG</w:t>
      </w:r>
      <w:r>
        <w:rPr>
          <w:rFonts w:ascii="MS PGothic" w:cs="MS PGothic" w:eastAsia="MS PGothic" w:hAnsi="MS PGothic"/>
          <w:sz w:val="18"/>
          <w:szCs w:val="18"/>
          <w:color w:val="auto"/>
        </w:rPr>
        <w:t>‑</w:t>
      </w:r>
      <w:r>
        <w:rPr>
          <w:rFonts w:ascii="Arial" w:cs="Arial" w:eastAsia="Arial" w:hAnsi="Arial"/>
          <w:sz w:val="18"/>
          <w:szCs w:val="18"/>
          <w:color w:val="auto"/>
        </w:rPr>
        <w:t>001075 demonstrated a dose-dependent inhibition of viral replication with &gt;5 log</w:t>
      </w:r>
      <w:r>
        <w:rPr>
          <w:rFonts w:ascii="Arial" w:cs="Arial" w:eastAsia="Arial" w:hAnsi="Arial"/>
          <w:sz w:val="12"/>
          <w:szCs w:val="12"/>
          <w:color w:val="auto"/>
        </w:rPr>
        <w:t>10</w:t>
      </w:r>
      <w:r>
        <w:rPr>
          <w:rFonts w:ascii="Arial" w:cs="Arial" w:eastAsia="Arial" w:hAnsi="Arial"/>
          <w:sz w:val="18"/>
          <w:szCs w:val="18"/>
          <w:color w:val="auto"/>
        </w:rPr>
        <w:t xml:space="preserve"> IU/mL reduction in HBV DNA at a dose of 15 mg/kg/dose given twice daily at 12-hour intervals (BID) as compared to a vehicle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121285</wp:posOffset>
            </wp:positionV>
            <wp:extent cx="5349240" cy="2297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924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ALG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020572 (ASO) for HBV</w:t>
      </w:r>
    </w:p>
    <w:p>
      <w:pPr>
        <w:spacing w:after="0" w:line="104"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Anti-sense oligonucleotides (ASOs) are single-stranded DNA or RNA molecules that are complementary to a selected target sequence. ASO structures are typically composed of three sections, known as the wings and the gap. The wings are on each end of the oligonucleotide strand with the gap section bridging the wing sections. Wings are generally made up of BNAs, while the gap sections are typically made up of DNA or modified DNA nucleotides. ASOs interfere with viral replication by binding to complementary mRNA, a process known as hybridization. If binding occurs, this hybrid can be degraded by the enzyme RNase H, resulting in significant down-regulation of mRNA expression, and, in the case of our CHB ASOs, preventing subsequent HBsAg translation and secretion. This process is shown in the figure below. ASOs have been validated across multiple indications, including CHB, where rapid and significant reductions in HBsAg have been observed.</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44" w:right="4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1168400</wp:posOffset>
            </wp:positionH>
            <wp:positionV relativeFrom="page">
              <wp:posOffset>372110</wp:posOffset>
            </wp:positionV>
            <wp:extent cx="5186045" cy="3608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186045" cy="360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509"/>
        <w:spacing w:after="0" w:line="207" w:lineRule="exact"/>
        <w:rPr>
          <w:sz w:val="20"/>
          <w:szCs w:val="20"/>
          <w:color w:val="auto"/>
        </w:rPr>
      </w:pPr>
      <w:r>
        <w:rPr>
          <w:rFonts w:ascii="Arial" w:cs="Arial" w:eastAsia="Arial" w:hAnsi="Arial"/>
          <w:sz w:val="17"/>
          <w:szCs w:val="17"/>
          <w:color w:val="auto"/>
        </w:rPr>
        <w:t>We have exclusively licensed Luxna’s intellectual property for use of next-generation nucleotide monomers in our current focus areas, including CHB and SARS-CoV-2. This chemistry forms the basis of our ASO platform and has enabled us to design highly potent, stable ASOs that have an improved toxicology profile, including a reduction of hepatotoxicity, as compared to ASOs using earlier nucleotide monomer technology. The application of this technology, combined with our proprietary liver-targeting GalNAc conjugation, has led to our discovery of ALG</w:t>
      </w:r>
      <w:r>
        <w:rPr>
          <w:rFonts w:ascii="MS PGothic" w:cs="MS PGothic" w:eastAsia="MS PGothic" w:hAnsi="MS PGothic"/>
          <w:sz w:val="17"/>
          <w:szCs w:val="17"/>
          <w:color w:val="auto"/>
        </w:rPr>
        <w:t>‑</w:t>
      </w:r>
      <w:r>
        <w:rPr>
          <w:rFonts w:ascii="Arial" w:cs="Arial" w:eastAsia="Arial" w:hAnsi="Arial"/>
          <w:sz w:val="17"/>
          <w:szCs w:val="17"/>
          <w:color w:val="auto"/>
        </w:rPr>
        <w:t>020572, a potentially best-in-class HBV ASO targeting the open reading frame of HBsAg. In an ongoing Phase 1 study, we recently completed SC dosing in HVs at doses up to 480 mg and enrollment in the first cohort of CHB subjects, who are receiving multiple doses, is also complete.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Molecular characteristics and nonclinical data</w:t>
      </w:r>
    </w:p>
    <w:p>
      <w:pPr>
        <w:spacing w:after="0" w:line="104" w:lineRule="exact"/>
        <w:rPr>
          <w:sz w:val="20"/>
          <w:szCs w:val="20"/>
          <w:color w:val="auto"/>
        </w:rPr>
      </w:pPr>
    </w:p>
    <w:p>
      <w:pPr>
        <w:ind w:right="20" w:firstLine="509"/>
        <w:spacing w:after="0" w:line="208" w:lineRule="exact"/>
        <w:rPr>
          <w:sz w:val="20"/>
          <w:szCs w:val="20"/>
          <w:color w:val="auto"/>
        </w:rPr>
      </w:pPr>
      <w:r>
        <w:rPr>
          <w:rFonts w:ascii="Arial" w:cs="Arial" w:eastAsia="Arial" w:hAnsi="Arial"/>
          <w:sz w:val="18"/>
          <w:szCs w:val="18"/>
          <w:color w:val="auto"/>
        </w:rPr>
        <w:t>We explored the structure activity relationship of BNA wing and nucleobase gap modifications across a set of diverse locked nucleic acid ASOs. When conjugated to our proprietary GalNAc moiety and administered subcutaneously (5 doses total, 10 mg/kg given every 3 days over 12 days) to mice previously infected with an AAV</w:t>
      </w:r>
      <w:r>
        <w:rPr>
          <w:rFonts w:ascii="MS PGothic" w:cs="MS PGothic" w:eastAsia="MS PGothic" w:hAnsi="MS PGothic"/>
          <w:sz w:val="18"/>
          <w:szCs w:val="18"/>
          <w:color w:val="auto"/>
        </w:rPr>
        <w:t>‑</w:t>
      </w:r>
      <w:r>
        <w:rPr>
          <w:rFonts w:ascii="Arial" w:cs="Arial" w:eastAsia="Arial" w:hAnsi="Arial"/>
          <w:sz w:val="18"/>
          <w:szCs w:val="18"/>
          <w:color w:val="auto"/>
        </w:rPr>
        <w:t>HBV construct, ALG</w:t>
      </w:r>
      <w:r>
        <w:rPr>
          <w:rFonts w:ascii="MS PGothic" w:cs="MS PGothic" w:eastAsia="MS PGothic" w:hAnsi="MS PGothic"/>
          <w:sz w:val="18"/>
          <w:szCs w:val="18"/>
          <w:color w:val="auto"/>
        </w:rPr>
        <w:t>‑</w:t>
      </w:r>
      <w:r>
        <w:rPr>
          <w:rFonts w:ascii="Arial" w:cs="Arial" w:eastAsia="Arial" w:hAnsi="Arial"/>
          <w:sz w:val="18"/>
          <w:szCs w:val="18"/>
          <w:color w:val="auto"/>
        </w:rPr>
        <w:t>020572 demonstrated a 1.5 log</w:t>
      </w:r>
      <w:r>
        <w:rPr>
          <w:rFonts w:ascii="Arial" w:cs="Arial" w:eastAsia="Arial" w:hAnsi="Arial"/>
          <w:sz w:val="12"/>
          <w:szCs w:val="12"/>
          <w:color w:val="auto"/>
        </w:rPr>
        <w:t>10</w:t>
      </w:r>
      <w:r>
        <w:rPr>
          <w:rFonts w:ascii="Arial" w:cs="Arial" w:eastAsia="Arial" w:hAnsi="Arial"/>
          <w:sz w:val="18"/>
          <w:szCs w:val="18"/>
          <w:color w:val="auto"/>
        </w:rPr>
        <w:t xml:space="preserve"> IU/mL mean reduction in serum HBsAg. Vehicle-treated animals did not exhibit any significant changes in their serum HBsAg. Importantly, this intensive dosing regimen was not associated with any changes in alanine aminotransferase (ALT) levels, a marker of liver cell damage.</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1082675</wp:posOffset>
            </wp:positionH>
            <wp:positionV relativeFrom="page">
              <wp:posOffset>371475</wp:posOffset>
            </wp:positionV>
            <wp:extent cx="5349240" cy="2708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Additionally, we compared the antiviral activity of ALG-020572 vs. a competitor ASO (GSK-3228836) in the AAV-HBV mouse model to assess the effects our proprietary chemistries and liver targeting technologies might have on HBsAg lowering. In this experiment, we found that treatment with ALG-020572 resulted in deeper HBsAg reductions that were more sustained relative to GSK-3228836. The results from this experiment can be found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120015</wp:posOffset>
            </wp:positionV>
            <wp:extent cx="5349240" cy="28117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ALG-020572 is currently being evaluated in an ongoing Phase 1 study which will assess the safety, PK, and antiviral activity of single or multiple SC doses of ALG-020572 in HVs and CHB subjects, respectively. Dosing in HVs is now complete and, to date, single doses of up to 480 mg of ALG-020572 have been well tolerated with an acceptable PK profile. Enrollment of the first cohort of CHB subjects is also complete. Multiple dose levels will be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ind w:right="500"/>
        <w:spacing w:after="0" w:line="261" w:lineRule="auto"/>
        <w:rPr>
          <w:sz w:val="20"/>
          <w:szCs w:val="20"/>
          <w:color w:val="auto"/>
        </w:rPr>
      </w:pPr>
      <w:r>
        <w:rPr>
          <w:rFonts w:ascii="Arial" w:cs="Arial" w:eastAsia="Arial" w:hAnsi="Arial"/>
          <w:sz w:val="18"/>
          <w:szCs w:val="18"/>
          <w:color w:val="auto"/>
        </w:rPr>
        <w:t>evaluated in order to define the dose-response characteristics of ALG-020572 in CHB subjects; these data are planned to be presented at a scientific conference in the second half of 2022.</w:t>
      </w:r>
    </w:p>
    <w:p>
      <w:pPr>
        <w:spacing w:after="0" w:line="63" w:lineRule="exact"/>
        <w:rPr>
          <w:sz w:val="20"/>
          <w:szCs w:val="20"/>
          <w:color w:val="auto"/>
        </w:rPr>
      </w:pPr>
    </w:p>
    <w:p>
      <w:pPr>
        <w:ind w:right="440" w:firstLine="509"/>
        <w:spacing w:after="0" w:line="324" w:lineRule="auto"/>
        <w:rPr>
          <w:sz w:val="20"/>
          <w:szCs w:val="20"/>
          <w:color w:val="auto"/>
        </w:rPr>
      </w:pPr>
      <w:r>
        <w:rPr>
          <w:rFonts w:ascii="Arial" w:cs="Arial" w:eastAsia="Arial" w:hAnsi="Arial"/>
          <w:sz w:val="16"/>
          <w:szCs w:val="16"/>
          <w:color w:val="auto"/>
        </w:rPr>
        <w:t>In summary, we have discovered a potent, liver-targeted ASO, ALG-020572, which has demonstrated a promising profile in nonclinical CHB models and has advanced into dosing in CHB subjects. This ASO drug candidate may also be combined with other drug candidates against CHB.</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siRNA</w:t>
      </w:r>
    </w:p>
    <w:p>
      <w:pPr>
        <w:spacing w:after="0" w:line="104"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Small interfering RNA (siRNA), also known as short interfering RNA or silencing RNA or RNA interference (RNAi), are a class of double-stranded, non-coding RNA, typically 20-27 base pairs in length. siRNA interferes with viral replication by silencing gene expression and subsequent protein (e.g., HBsAg) translation and secretion. siRNAs have shown efficacy across multiple indications, including CHB, where significant, gradual and durable reductions in HBsAg have been observed in clinical trials.</w:t>
      </w:r>
    </w:p>
    <w:p>
      <w:pPr>
        <w:spacing w:after="0" w:line="8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siRNA-induced gene silencing is initiated with the assembly of the RNA-induced silencing complex (RISC). One of the two siRNA strands, the guide strand or anti-sense strand, is loaded into the RISC while the other strand, the passenger strand or sense strand, is degraded. Dicer enzymes are responsible for loading the guide strand into RISC. The cleavage of the mRNA molecule is thought to be catalyzed by the Argonaute proteins of the RISC. The mRNA molecule is then cut by cleaving the phosphodiester bond between the target nucleotides which are paired to siRNA residues. This cleavage results in mRNA fragments that are further degraded by cellular exonucleases. The process of siRNA-mediated RNA degradation is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146050</wp:posOffset>
            </wp:positionV>
            <wp:extent cx="3977640" cy="2837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97764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firstLine="509"/>
        <w:spacing w:after="0" w:line="212" w:lineRule="exact"/>
        <w:rPr>
          <w:sz w:val="20"/>
          <w:szCs w:val="20"/>
          <w:color w:val="auto"/>
        </w:rPr>
      </w:pPr>
      <w:r>
        <w:rPr>
          <w:rFonts w:ascii="Arial" w:cs="Arial" w:eastAsia="Arial" w:hAnsi="Arial"/>
          <w:sz w:val="18"/>
          <w:szCs w:val="18"/>
          <w:color w:val="auto"/>
        </w:rPr>
        <w:t>We started with our bioinformatics approach to identify regions of the HBV genome for targeting and used our proprietary technology to maximize potency and minimize the number of 2’-F nucleotides in our sequences. We applied this approach to our screening paradigm to identify our lead siRNA candidate, ALG</w:t>
      </w:r>
      <w:r>
        <w:rPr>
          <w:rFonts w:ascii="MS PGothic" w:cs="MS PGothic" w:eastAsia="MS PGothic" w:hAnsi="MS PGothic"/>
          <w:sz w:val="18"/>
          <w:szCs w:val="18"/>
          <w:color w:val="auto"/>
        </w:rPr>
        <w:t>‑</w:t>
      </w:r>
      <w:r>
        <w:rPr>
          <w:rFonts w:ascii="Arial" w:cs="Arial" w:eastAsia="Arial" w:hAnsi="Arial"/>
          <w:sz w:val="18"/>
          <w:szCs w:val="18"/>
          <w:color w:val="auto"/>
        </w:rPr>
        <w:t>125755.</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6" w:right="41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Molecular characteristics and nonclinical data</w:t>
      </w:r>
    </w:p>
    <w:p>
      <w:pPr>
        <w:spacing w:after="0" w:line="104" w:lineRule="exact"/>
        <w:rPr>
          <w:sz w:val="20"/>
          <w:szCs w:val="20"/>
          <w:color w:val="auto"/>
        </w:rPr>
      </w:pPr>
    </w:p>
    <w:p>
      <w:pPr>
        <w:ind w:firstLine="509"/>
        <w:spacing w:after="0" w:line="207" w:lineRule="exact"/>
        <w:rPr>
          <w:sz w:val="20"/>
          <w:szCs w:val="20"/>
          <w:color w:val="auto"/>
        </w:rPr>
      </w:pPr>
      <w:r>
        <w:rPr>
          <w:rFonts w:ascii="Arial" w:cs="Arial" w:eastAsia="Arial" w:hAnsi="Arial"/>
          <w:sz w:val="17"/>
          <w:szCs w:val="17"/>
          <w:color w:val="auto"/>
        </w:rPr>
        <w:t>In cell-based assays measuring reduction in HBsAg in infected cells, our lead siRNA drug candidate, ALG</w:t>
      </w:r>
      <w:r>
        <w:rPr>
          <w:rFonts w:ascii="MS PGothic" w:cs="MS PGothic" w:eastAsia="MS PGothic" w:hAnsi="MS PGothic"/>
          <w:sz w:val="17"/>
          <w:szCs w:val="17"/>
          <w:color w:val="auto"/>
        </w:rPr>
        <w:t>‑</w:t>
      </w:r>
      <w:r>
        <w:rPr>
          <w:rFonts w:ascii="Arial" w:cs="Arial" w:eastAsia="Arial" w:hAnsi="Arial"/>
          <w:sz w:val="17"/>
          <w:szCs w:val="17"/>
          <w:color w:val="auto"/>
        </w:rPr>
        <w:t>125755, as well as additional backup compounds ALG</w:t>
      </w:r>
      <w:r>
        <w:rPr>
          <w:rFonts w:ascii="MS PGothic" w:cs="MS PGothic" w:eastAsia="MS PGothic" w:hAnsi="MS PGothic"/>
          <w:sz w:val="17"/>
          <w:szCs w:val="17"/>
          <w:color w:val="auto"/>
        </w:rPr>
        <w:t>‑</w:t>
      </w:r>
      <w:r>
        <w:rPr>
          <w:rFonts w:ascii="Arial" w:cs="Arial" w:eastAsia="Arial" w:hAnsi="Arial"/>
          <w:sz w:val="17"/>
          <w:szCs w:val="17"/>
          <w:color w:val="auto"/>
        </w:rPr>
        <w:t>125097 and ALG</w:t>
      </w:r>
      <w:r>
        <w:rPr>
          <w:rFonts w:ascii="MS PGothic" w:cs="MS PGothic" w:eastAsia="MS PGothic" w:hAnsi="MS PGothic"/>
          <w:sz w:val="17"/>
          <w:szCs w:val="17"/>
          <w:color w:val="auto"/>
        </w:rPr>
        <w:t>‑</w:t>
      </w:r>
      <w:r>
        <w:rPr>
          <w:rFonts w:ascii="Arial" w:cs="Arial" w:eastAsia="Arial" w:hAnsi="Arial"/>
          <w:sz w:val="17"/>
          <w:szCs w:val="17"/>
          <w:color w:val="auto"/>
        </w:rPr>
        <w:t>125819, demonstrated potent inhibition of HBsAg release from HBV-infected cells. When dosed in vivo in the AAV-HBV mouse model of CHB infection, a single 5 mg/kg subcutaneous injection resulted in a sustained reduction of serum HBsAg of approximately 1-1.5 log</w:t>
      </w:r>
      <w:r>
        <w:rPr>
          <w:rFonts w:ascii="Arial" w:cs="Arial" w:eastAsia="Arial" w:hAnsi="Arial"/>
          <w:sz w:val="11"/>
          <w:szCs w:val="11"/>
          <w:color w:val="auto"/>
        </w:rPr>
        <w:t>10</w:t>
      </w:r>
      <w:r>
        <w:rPr>
          <w:rFonts w:ascii="Arial" w:cs="Arial" w:eastAsia="Arial" w:hAnsi="Arial"/>
          <w:sz w:val="17"/>
          <w:szCs w:val="17"/>
          <w:color w:val="auto"/>
        </w:rPr>
        <w:t xml:space="preserve"> IU/mL through the last measurement at 28 days. Similarly, multiple 5 mg/kg doses of ALG-125755 in the AAV-HBV mouse model resulted in sustained up to ~2.5 log</w:t>
      </w:r>
      <w:r>
        <w:rPr>
          <w:rFonts w:ascii="Arial" w:cs="Arial" w:eastAsia="Arial" w:hAnsi="Arial"/>
          <w:sz w:val="11"/>
          <w:szCs w:val="11"/>
          <w:color w:val="auto"/>
        </w:rPr>
        <w:t>10</w:t>
      </w:r>
      <w:r>
        <w:rPr>
          <w:rFonts w:ascii="Arial" w:cs="Arial" w:eastAsia="Arial" w:hAnsi="Arial"/>
          <w:sz w:val="17"/>
          <w:szCs w:val="17"/>
          <w:color w:val="auto"/>
        </w:rPr>
        <w:t xml:space="preserve"> IU/mL reductions in HBsAg levels. ALG-125755 also compared favorably to a competitor siRNA (e.g., VIR-2218) in a head-to-head AAV-HBV experiment. The results from these experiments are shown in the figures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6146165" cy="4500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46165" cy="450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6" w:right="41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534035</wp:posOffset>
            </wp:positionH>
            <wp:positionV relativeFrom="page">
              <wp:posOffset>285750</wp:posOffset>
            </wp:positionV>
            <wp:extent cx="5349240" cy="25203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preclinical efforts to advance ALG-125755 are ongoing, with dosing in HVs on-track for the third quarter of 2022.</w:t>
      </w:r>
    </w:p>
    <w:p>
      <w:pPr>
        <w:spacing w:after="0" w:line="104" w:lineRule="exact"/>
        <w:rPr>
          <w:sz w:val="20"/>
          <w:szCs w:val="20"/>
          <w:color w:val="auto"/>
        </w:rPr>
      </w:pPr>
    </w:p>
    <w:p>
      <w:pPr>
        <w:ind w:right="580" w:firstLine="509"/>
        <w:spacing w:after="0" w:line="216" w:lineRule="exact"/>
        <w:rPr>
          <w:sz w:val="20"/>
          <w:szCs w:val="20"/>
          <w:color w:val="auto"/>
        </w:rPr>
      </w:pPr>
      <w:r>
        <w:rPr>
          <w:rFonts w:ascii="Arial" w:cs="Arial" w:eastAsia="Arial" w:hAnsi="Arial"/>
          <w:sz w:val="18"/>
          <w:szCs w:val="18"/>
          <w:color w:val="auto"/>
        </w:rPr>
        <w:t>In conclusion, our proprietary siRNA technology is based on modifying chemistries and has resulted in the identification of drug candidates, including ALG</w:t>
      </w:r>
      <w:r>
        <w:rPr>
          <w:rFonts w:ascii="MS PGothic" w:cs="MS PGothic" w:eastAsia="MS PGothic" w:hAnsi="MS PGothic"/>
          <w:sz w:val="18"/>
          <w:szCs w:val="18"/>
          <w:color w:val="auto"/>
        </w:rPr>
        <w:t>‑</w:t>
      </w:r>
      <w:r>
        <w:rPr>
          <w:rFonts w:ascii="Arial" w:cs="Arial" w:eastAsia="Arial" w:hAnsi="Arial"/>
          <w:sz w:val="18"/>
          <w:szCs w:val="18"/>
          <w:color w:val="auto"/>
        </w:rPr>
        <w:t>125755, that have promising profiles with long lasting durability in nonclinical CHB models.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Nonclinical combination data</w:t>
      </w:r>
    </w:p>
    <w:p>
      <w:pPr>
        <w:spacing w:after="0" w:line="104" w:lineRule="exact"/>
        <w:rPr>
          <w:sz w:val="20"/>
          <w:szCs w:val="20"/>
          <w:color w:val="auto"/>
        </w:rPr>
      </w:pPr>
    </w:p>
    <w:p>
      <w:pPr>
        <w:ind w:firstLine="509"/>
        <w:spacing w:after="0" w:line="208" w:lineRule="exact"/>
        <w:rPr>
          <w:sz w:val="20"/>
          <w:szCs w:val="20"/>
          <w:color w:val="auto"/>
        </w:rPr>
      </w:pPr>
      <w:r>
        <w:rPr>
          <w:rFonts w:ascii="Arial" w:cs="Arial" w:eastAsia="Arial" w:hAnsi="Arial"/>
          <w:sz w:val="18"/>
          <w:szCs w:val="18"/>
          <w:color w:val="auto"/>
        </w:rPr>
        <w:t>We performed in vitro studies in HepG2.2.15 cells to assess the potential for drug-drug interactions on HBsAg or HBV DNA reductions when combining our drug candidates, and the degree of synergy was quantified using MacSynergy II software. Combinations of our CAM drug candidate, ALG</w:t>
      </w:r>
      <w:r>
        <w:rPr>
          <w:rFonts w:ascii="MS PGothic" w:cs="MS PGothic" w:eastAsia="MS PGothic" w:hAnsi="MS PGothic"/>
          <w:sz w:val="18"/>
          <w:szCs w:val="18"/>
          <w:color w:val="auto"/>
        </w:rPr>
        <w:t>‑</w:t>
      </w:r>
      <w:r>
        <w:rPr>
          <w:rFonts w:ascii="Arial" w:cs="Arial" w:eastAsia="Arial" w:hAnsi="Arial"/>
          <w:sz w:val="18"/>
          <w:szCs w:val="18"/>
          <w:color w:val="auto"/>
        </w:rPr>
        <w:t>000184, or our ASO drug candidate, ALG</w:t>
      </w:r>
      <w:r>
        <w:rPr>
          <w:rFonts w:ascii="MS PGothic" w:cs="MS PGothic" w:eastAsia="MS PGothic" w:hAnsi="MS PGothic"/>
          <w:sz w:val="18"/>
          <w:szCs w:val="18"/>
          <w:color w:val="auto"/>
        </w:rPr>
        <w:t>‑</w:t>
      </w:r>
      <w:r>
        <w:rPr>
          <w:rFonts w:ascii="Arial" w:cs="Arial" w:eastAsia="Arial" w:hAnsi="Arial"/>
          <w:sz w:val="18"/>
          <w:szCs w:val="18"/>
          <w:color w:val="auto"/>
        </w:rPr>
        <w:t>020572, with other inhibitors of HBV replication generally demonstrated either additive or synergistic interactions. We also studied in vivo combinations in the AAV</w:t>
      </w:r>
      <w:r>
        <w:rPr>
          <w:rFonts w:ascii="MS PGothic" w:cs="MS PGothic" w:eastAsia="MS PGothic" w:hAnsi="MS PGothic"/>
          <w:sz w:val="18"/>
          <w:szCs w:val="18"/>
          <w:color w:val="auto"/>
        </w:rPr>
        <w:t>‑</w:t>
      </w:r>
      <w:r>
        <w:rPr>
          <w:rFonts w:ascii="Arial" w:cs="Arial" w:eastAsia="Arial" w:hAnsi="Arial"/>
          <w:sz w:val="18"/>
          <w:szCs w:val="18"/>
          <w:color w:val="auto"/>
        </w:rPr>
        <w:t>HBV mouse model with ALG</w:t>
      </w:r>
      <w:r>
        <w:rPr>
          <w:rFonts w:ascii="MS PGothic" w:cs="MS PGothic" w:eastAsia="MS PGothic" w:hAnsi="MS PGothic"/>
          <w:sz w:val="18"/>
          <w:szCs w:val="18"/>
          <w:color w:val="auto"/>
        </w:rPr>
        <w:t>‑</w:t>
      </w:r>
      <w:r>
        <w:rPr>
          <w:rFonts w:ascii="Arial" w:cs="Arial" w:eastAsia="Arial" w:hAnsi="Arial"/>
          <w:sz w:val="18"/>
          <w:szCs w:val="18"/>
          <w:color w:val="auto"/>
        </w:rPr>
        <w:t>020572. These studies indicate that our drug candidates could become part of an effective combination regimen for CHB,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120650</wp:posOffset>
            </wp:positionV>
            <wp:extent cx="5349240" cy="2563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49240" cy="256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Clinical development plan for CHB</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Our approach for developing a best-in-class CHB combination regimen is to discover and develop drug candidates initially targeting clinically validated MOAs, which are evaluated as monotherapy in Phase 1 and subsequently studied in Phase 2 and Phase 3 combination trials. This approach maximizes the chance of achieving higher rates of functional cure compared to current standard of care. Our CHB development strategy is depicted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188595</wp:posOffset>
            </wp:positionV>
            <wp:extent cx="5349240" cy="2177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4924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Both our CAM molecule (ALG</w:t>
      </w:r>
      <w:r>
        <w:rPr>
          <w:rFonts w:ascii="MS PGothic" w:cs="MS PGothic" w:eastAsia="MS PGothic" w:hAnsi="MS PGothic"/>
          <w:sz w:val="18"/>
          <w:szCs w:val="18"/>
          <w:color w:val="auto"/>
        </w:rPr>
        <w:t>‑</w:t>
      </w:r>
      <w:r>
        <w:rPr>
          <w:rFonts w:ascii="Arial" w:cs="Arial" w:eastAsia="Arial" w:hAnsi="Arial"/>
          <w:sz w:val="18"/>
          <w:szCs w:val="18"/>
          <w:color w:val="auto"/>
        </w:rPr>
        <w:t>000184) and ASO (ALG-020572) are currently being evaluated in Phase 1b clinical trials.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figure below illustrates our planned general approach to Phase 1 trial design for each of our CHB drug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160655</wp:posOffset>
            </wp:positionV>
            <wp:extent cx="5194935" cy="2091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9493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36" w:right="499" w:bottom="1440" w:gutter="0" w:footer="0" w:header="0"/>
        </w:sectPr>
      </w:pPr>
    </w:p>
    <w:bookmarkStart w:id="24" w:name="page25"/>
    <w:bookmarkEnd w:id="24"/>
    <w:p>
      <w:pPr>
        <w:ind w:right="60" w:firstLine="509"/>
        <w:spacing w:after="0" w:line="243" w:lineRule="auto"/>
        <w:rPr>
          <w:sz w:val="20"/>
          <w:szCs w:val="20"/>
          <w:color w:val="auto"/>
        </w:rPr>
      </w:pPr>
      <w:r>
        <w:rPr>
          <w:rFonts w:ascii="Arial" w:cs="Arial" w:eastAsia="Arial" w:hAnsi="Arial"/>
          <w:sz w:val="18"/>
          <w:szCs w:val="18"/>
          <w:color w:val="auto"/>
        </w:rPr>
        <w:t>Although we expect the basic Phase 1 trial design to be the same across all of our CHB drug candidates, we anticipate there will be important differences, which include routes of administration, dose and dosing frequency, patient population, and key viral markers. In addition, it is likely that MAD evaluation in HV will not be required for the ALG-125755 or ALG-020572 programs. A summary table of the key Phase 1 design elements and how we expect them to differ across our drug candidates can be found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128270</wp:posOffset>
            </wp:positionV>
            <wp:extent cx="5349240" cy="23317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924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Drug candidates that show favorable risk/benefit profiles as monotherapy in Phase 1 will be evaluated in combination in our Phase 2 platform trials. This platform approach allows us to evaluate many combinations of our drug candidates along with approved drugs and/or other drug candidates in development, as needed. This strategy allows us to identify combination regimens that could achieve a higher rate of functional cure compared to current standard of care. The optimized regimen(s) identified in Phase 2 will then be evaluated in Phase 3 registrational trials.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NASH</w:t>
      </w:r>
    </w:p>
    <w:p>
      <w:pPr>
        <w:spacing w:after="0" w:line="108"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One of the effects of improper diet and insufficient exercise is the accumulation of fatty deposits in the liver, referred to as nonalcoholic fatty liver disease (NAFLD), which was estimated to occur in approximately 25% of the worldwide population as of 2015. At that time, an estimated 1.5% to 6.5% of the global population was estimated to have an ongoing inflammatory response to these excess fat deposits, which is referred to as NASH. Over the past several years, the prevalence of NASH has continued to rise. In the United States alone, the prevalence of NASH is projected to increase from approximately 16.5 million in 2015 to 27.0 million in 2030. In the absence of changes in diet and exercise, the inflammation inherent in NASH persists and may result in progressive fibrosis of the liver, which may result in cirrhosis. These fibrotic changes are associated with numerous morbidities including recurrent hospitalization for complications of cirrhosis, hepatocellular carcinoma, need for liver transplant, and death.</w:t>
      </w:r>
    </w:p>
    <w:p>
      <w:pPr>
        <w:spacing w:after="0" w:line="72"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only widely accepted treatment for NASH is weight loss through behavioral modifications such as diet and exercise, which is difficult to achieve at the broad population level. As there are currently no approved drugs to treat NASH, many development programs are underway to identify drugs to address this epidemic. One of the promising MOAs in the NASH space appears to be drugs which preferentially target the beta subtype of the THR receptor.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THR-ß background</w:t>
      </w:r>
    </w:p>
    <w:p>
      <w:pPr>
        <w:spacing w:after="0" w:line="104" w:lineRule="exact"/>
        <w:rPr>
          <w:sz w:val="20"/>
          <w:szCs w:val="20"/>
          <w:color w:val="auto"/>
        </w:rPr>
      </w:pPr>
    </w:p>
    <w:p>
      <w:pPr>
        <w:ind w:firstLine="509"/>
        <w:spacing w:after="0" w:line="207" w:lineRule="exact"/>
        <w:rPr>
          <w:sz w:val="20"/>
          <w:szCs w:val="20"/>
          <w:color w:val="auto"/>
        </w:rPr>
      </w:pPr>
      <w:r>
        <w:rPr>
          <w:rFonts w:ascii="Arial" w:cs="Arial" w:eastAsia="Arial" w:hAnsi="Arial"/>
          <w:sz w:val="18"/>
          <w:szCs w:val="18"/>
          <w:color w:val="auto"/>
        </w:rPr>
        <w:t>The thyroid hormone triiodothyronine (T3) has many physiological effects throughout the body, ranging from increasing metabolism, including fat metabolism, to stimulating growth and development. T3 exerts its effects by binding to the thyroid hormone receptor (THR), which has two subtypes: alpha (THR-α) and beta (THR- ). The distribution of the two THR subtypes varies by organ, with THR- predominantly expressed in the liver and THR</w:t>
      </w:r>
      <w:r>
        <w:rPr>
          <w:rFonts w:ascii="MS PGothic" w:cs="MS PGothic" w:eastAsia="MS PGothic" w:hAnsi="MS PGothic"/>
          <w:sz w:val="18"/>
          <w:szCs w:val="18"/>
          <w:color w:val="auto"/>
        </w:rPr>
        <w:t>‑</w:t>
      </w:r>
      <w:r>
        <w:rPr>
          <w:rFonts w:ascii="Arial" w:cs="Arial" w:eastAsia="Arial" w:hAnsi="Arial"/>
          <w:sz w:val="18"/>
          <w:szCs w:val="18"/>
          <w:color w:val="auto"/>
        </w:rPr>
        <w:t>α predominantly expressed in other tissues (e.g., heart, skeletal muscles and bone). Drug candidates like resmetirom, which preferentially binds the THR-subtype, have been shown in clinical trials to lower lipid levels in serum and the liver, while avoiding the unwanted effects associated with THR-α stimulation. In addition to the intended effect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5" w:name="page26"/>
    <w:bookmarkEnd w:id="25"/>
    <w:p>
      <w:pPr>
        <w:ind w:right="140"/>
        <w:spacing w:after="0" w:line="261" w:lineRule="auto"/>
        <w:rPr>
          <w:sz w:val="20"/>
          <w:szCs w:val="20"/>
          <w:color w:val="auto"/>
        </w:rPr>
      </w:pPr>
      <w:r>
        <w:rPr>
          <w:rFonts w:ascii="Arial" w:cs="Arial" w:eastAsia="Arial" w:hAnsi="Arial"/>
          <w:sz w:val="18"/>
          <w:szCs w:val="18"/>
          <w:color w:val="auto"/>
        </w:rPr>
        <w:t>of lowering liver lipid levels in NASH patients, lowering serum lipid levels via THR- agonism may also have favorable consequences in this population, which has a high rate of underlying cardiovascular disease.</w:t>
      </w:r>
    </w:p>
    <w:p>
      <w:pPr>
        <w:spacing w:after="0" w:line="63"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There are multiple other mechanisms being explored for the treatment of NASH, but none have yet to demonstrate a favorable risk/benefit profile, and many have important limitations. In some cases, mechanisms such as Farnesoid X Receptor (FXR) agonists, Fibroblast Growth Factor-19 analogs, and Acetyl-CoA Carboxylase inhibitors have been shown to increase serum lipid profiles, which may require additional pharmacologic therapy or put patients at additional risk of cardiovascular disease. In other cases, mechanisms such as FXR agonists and drugs targeting various subtypes of the Peroxisome Proliferator Activated Receptors are associated with dose limiting toxicities such as pruritus and edema, respectively, that might limit widespread uptake even if approved.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molecule approaches</w:t>
      </w:r>
    </w:p>
    <w:p>
      <w:pPr>
        <w:spacing w:after="0" w:line="108" w:lineRule="exact"/>
        <w:rPr>
          <w:sz w:val="20"/>
          <w:szCs w:val="20"/>
          <w:color w:val="auto"/>
        </w:rPr>
      </w:pPr>
    </w:p>
    <w:p>
      <w:pPr>
        <w:ind w:firstLine="509"/>
        <w:spacing w:after="0" w:line="205" w:lineRule="exact"/>
        <w:rPr>
          <w:sz w:val="20"/>
          <w:szCs w:val="20"/>
          <w:color w:val="auto"/>
        </w:rPr>
      </w:pPr>
      <w:r>
        <w:rPr>
          <w:rFonts w:ascii="Arial" w:cs="Arial" w:eastAsia="Arial" w:hAnsi="Arial"/>
          <w:sz w:val="16"/>
          <w:szCs w:val="16"/>
          <w:color w:val="auto"/>
        </w:rPr>
        <w:t>The most advanced THR- agonists in clinical development are VK-2809 in Phase 2b and resmetirom in Phase 3. Both of these drugs have demonstrated significant reductions in lipid levels in the liver and serum and, to date, have an acceptable risk-benefit profile. In addition, resmetirom has demonstrated histologic evidence of NASH resolution in Phase 2 trials, which is one of two FDA approvable endpoints. Our lead THR-ß drug candidate ALG</w:t>
      </w:r>
      <w:r>
        <w:rPr>
          <w:rFonts w:ascii="MS PGothic" w:cs="MS PGothic" w:eastAsia="MS PGothic" w:hAnsi="MS PGothic"/>
          <w:sz w:val="16"/>
          <w:szCs w:val="16"/>
          <w:color w:val="auto"/>
        </w:rPr>
        <w:t>‑</w:t>
      </w:r>
      <w:r>
        <w:rPr>
          <w:rFonts w:ascii="Arial" w:cs="Arial" w:eastAsia="Arial" w:hAnsi="Arial"/>
          <w:sz w:val="16"/>
          <w:szCs w:val="16"/>
          <w:color w:val="auto"/>
        </w:rPr>
        <w:t>055009 may have important advantages over these compounds. Side-by-side biochemical and cell-based experiments in HEK293T cells indicate that ALG</w:t>
      </w:r>
      <w:r>
        <w:rPr>
          <w:rFonts w:ascii="MS PGothic" w:cs="MS PGothic" w:eastAsia="MS PGothic" w:hAnsi="MS PGothic"/>
          <w:sz w:val="16"/>
          <w:szCs w:val="16"/>
          <w:color w:val="auto"/>
        </w:rPr>
        <w:t>‑</w:t>
      </w:r>
      <w:r>
        <w:rPr>
          <w:rFonts w:ascii="Arial" w:cs="Arial" w:eastAsia="Arial" w:hAnsi="Arial"/>
          <w:sz w:val="16"/>
          <w:szCs w:val="16"/>
          <w:color w:val="auto"/>
        </w:rPr>
        <w:t>055009 is 5- to 47-fold more potent and 3- to 2-fold more selective for the receptor compared to VK-2809 and resmetirom, respectively, which may optimize the risk benefit-profile for ALG</w:t>
      </w:r>
      <w:r>
        <w:rPr>
          <w:rFonts w:ascii="MS PGothic" w:cs="MS PGothic" w:eastAsia="MS PGothic" w:hAnsi="MS PGothic"/>
          <w:sz w:val="16"/>
          <w:szCs w:val="16"/>
          <w:color w:val="auto"/>
        </w:rPr>
        <w:t>‑</w:t>
      </w:r>
      <w:r>
        <w:rPr>
          <w:rFonts w:ascii="Arial" w:cs="Arial" w:eastAsia="Arial" w:hAnsi="Arial"/>
          <w:sz w:val="16"/>
          <w:szCs w:val="16"/>
          <w:color w:val="auto"/>
        </w:rPr>
        <w:t>055009. When studied in a diet induced obesity (DIO) mouse model, these potency advantages were shown to result in greater serum lipid reductions compared to what has been previously reported for VK-2809 and resmetirom at exposures being evaluated in the clinic. Specifically, ALG</w:t>
      </w:r>
      <w:r>
        <w:rPr>
          <w:rFonts w:ascii="MS PGothic" w:cs="MS PGothic" w:eastAsia="MS PGothic" w:hAnsi="MS PGothic"/>
          <w:sz w:val="16"/>
          <w:szCs w:val="16"/>
          <w:color w:val="auto"/>
        </w:rPr>
        <w:t>‑</w:t>
      </w:r>
      <w:r>
        <w:rPr>
          <w:rFonts w:ascii="Arial" w:cs="Arial" w:eastAsia="Arial" w:hAnsi="Arial"/>
          <w:sz w:val="16"/>
          <w:szCs w:val="16"/>
          <w:color w:val="auto"/>
        </w:rPr>
        <w:t>055009 achieved a 34% reduction in serum total cholesterol levels with an acceptable safety profile (e.g., no clinically relevant changes in thyroid hormone levels) in mice, as shown in the figure below. An ALG</w:t>
      </w:r>
      <w:r>
        <w:rPr>
          <w:rFonts w:ascii="MS PGothic" w:cs="MS PGothic" w:eastAsia="MS PGothic" w:hAnsi="MS PGothic"/>
          <w:sz w:val="16"/>
          <w:szCs w:val="16"/>
          <w:color w:val="auto"/>
        </w:rPr>
        <w:t>‑</w:t>
      </w:r>
      <w:r>
        <w:rPr>
          <w:rFonts w:ascii="Arial" w:cs="Arial" w:eastAsia="Arial" w:hAnsi="Arial"/>
          <w:sz w:val="16"/>
          <w:szCs w:val="16"/>
          <w:color w:val="auto"/>
        </w:rPr>
        <w:t>055009 dose-related decrease in serum LDL-C was also noted in mice. Further, nonclinical pharmacokinetic studies of ALG</w:t>
      </w:r>
      <w:r>
        <w:rPr>
          <w:rFonts w:ascii="MS PGothic" w:cs="MS PGothic" w:eastAsia="MS PGothic" w:hAnsi="MS PGothic"/>
          <w:sz w:val="16"/>
          <w:szCs w:val="16"/>
          <w:color w:val="auto"/>
        </w:rPr>
        <w:t>‑</w:t>
      </w:r>
      <w:r>
        <w:rPr>
          <w:rFonts w:ascii="Arial" w:cs="Arial" w:eastAsia="Arial" w:hAnsi="Arial"/>
          <w:sz w:val="16"/>
          <w:szCs w:val="16"/>
          <w:color w:val="auto"/>
        </w:rPr>
        <w:t>055009 predict low, once-daily dosing in humans with a low risk of drug-drug interactions.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149225</wp:posOffset>
            </wp:positionV>
            <wp:extent cx="5160645" cy="3823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60645" cy="382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6" w:name="page27"/>
    <w:bookmarkEnd w:id="26"/>
    <w:p>
      <w:pPr>
        <w:spacing w:after="0" w:line="207" w:lineRule="exact"/>
        <w:rPr>
          <w:sz w:val="20"/>
          <w:szCs w:val="20"/>
          <w:color w:val="auto"/>
        </w:rPr>
      </w:pPr>
      <w:r>
        <w:rPr>
          <w:rFonts w:ascii="Arial" w:cs="Arial" w:eastAsia="Arial" w:hAnsi="Arial"/>
          <w:sz w:val="18"/>
          <w:szCs w:val="18"/>
          <w:b w:val="1"/>
          <w:bCs w:val="1"/>
          <w:i w:val="1"/>
          <w:iCs w:val="1"/>
          <w:color w:val="auto"/>
        </w:rPr>
        <w:t>ALG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055009 development plans</w:t>
      </w:r>
    </w:p>
    <w:p>
      <w:pPr>
        <w:spacing w:after="0" w:line="104" w:lineRule="exact"/>
        <w:rPr>
          <w:sz w:val="20"/>
          <w:szCs w:val="20"/>
          <w:color w:val="auto"/>
        </w:rPr>
      </w:pPr>
    </w:p>
    <w:p>
      <w:pPr>
        <w:ind w:firstLine="509"/>
        <w:spacing w:after="0" w:line="206" w:lineRule="exact"/>
        <w:rPr>
          <w:sz w:val="20"/>
          <w:szCs w:val="20"/>
          <w:color w:val="auto"/>
        </w:rPr>
      </w:pPr>
      <w:r>
        <w:rPr>
          <w:rFonts w:ascii="Arial" w:cs="Arial" w:eastAsia="Arial" w:hAnsi="Arial"/>
          <w:sz w:val="17"/>
          <w:szCs w:val="17"/>
          <w:color w:val="auto"/>
        </w:rPr>
        <w:t>We recently initiated a Phase 1a/1b umbrella study assessing orally administered single ascending doses of ALG-055009 in healthy volunteers as well as multiple ascending doses (MAD) administered orally once-daily (QD) in subjects with mild hyperlipidemia. Dosing is ongoing in both the SAD and MAD portions of this study. The data from this study will establish proof of activity and help identify doses that may be evaluated in larger studies involving patients with NASH. Topline data, including safety, PK, and pharmacodynamic data, in hyperlipidemic subjects are anticipated to be released in the third quarter of 2022. With this proof of activity in hand, we would have several options for further development, including continuing the development of the drug candidate into a Phase 2 clinical trial that we would sponsor. Alternatively, we may explore partnering ALG</w:t>
      </w:r>
      <w:r>
        <w:rPr>
          <w:rFonts w:ascii="MS PGothic" w:cs="MS PGothic" w:eastAsia="MS PGothic" w:hAnsi="MS PGothic"/>
          <w:sz w:val="17"/>
          <w:szCs w:val="17"/>
          <w:color w:val="auto"/>
        </w:rPr>
        <w:t>‑</w:t>
      </w:r>
      <w:r>
        <w:rPr>
          <w:rFonts w:ascii="Arial" w:cs="Arial" w:eastAsia="Arial" w:hAnsi="Arial"/>
          <w:sz w:val="17"/>
          <w:szCs w:val="17"/>
          <w:color w:val="auto"/>
        </w:rPr>
        <w:t>055009 with a third-party that has an existing drug candidate for the treatment of NASH with a complementary MOA, either in a clinical collaboration or as an out-license opportunity. We believe this may be an ideal time to seek a partnership for ALG</w:t>
      </w:r>
      <w:r>
        <w:rPr>
          <w:rFonts w:ascii="MS PGothic" w:cs="MS PGothic" w:eastAsia="MS PGothic" w:hAnsi="MS PGothic"/>
          <w:sz w:val="17"/>
          <w:szCs w:val="17"/>
          <w:color w:val="auto"/>
        </w:rPr>
        <w:t>‑</w:t>
      </w:r>
      <w:r>
        <w:rPr>
          <w:rFonts w:ascii="Arial" w:cs="Arial" w:eastAsia="Arial" w:hAnsi="Arial"/>
          <w:sz w:val="17"/>
          <w:szCs w:val="17"/>
          <w:color w:val="auto"/>
        </w:rPr>
        <w:t>055009, as we expect enthusiasm for the THR-β MOA to be high after the expected Phase 3 resmetirom and Phase 2b VK-2809 readouts, which are anticipated in the second half of 2022.</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Oligonucleotide approaches to NASH</w:t>
      </w:r>
    </w:p>
    <w:p>
      <w:pPr>
        <w:spacing w:after="0" w:line="104" w:lineRule="exact"/>
        <w:rPr>
          <w:sz w:val="20"/>
          <w:szCs w:val="20"/>
          <w:color w:val="auto"/>
        </w:rPr>
      </w:pPr>
    </w:p>
    <w:p>
      <w:pPr>
        <w:ind w:right="180" w:firstLine="509"/>
        <w:spacing w:after="0" w:line="262" w:lineRule="auto"/>
        <w:rPr>
          <w:sz w:val="20"/>
          <w:szCs w:val="20"/>
          <w:color w:val="auto"/>
        </w:rPr>
      </w:pPr>
      <w:r>
        <w:rPr>
          <w:rFonts w:ascii="Arial" w:cs="Arial" w:eastAsia="Arial" w:hAnsi="Arial"/>
          <w:sz w:val="17"/>
          <w:szCs w:val="17"/>
          <w:color w:val="auto"/>
        </w:rPr>
        <w:t>Recently, genome-wide association and large candidate gene studies have enriched our understanding of the genetic basis of NASH. Variants in multiple human genome sequences have been identified as major common genetic determinants of this disease. We are collaborating with Merck to apply our oligonucleotide platform technology to discover, research, optimize and develop oligonucleotides directed against two NASH targets. In addition, we continue to evaluate additional targets for their utility in developing an oligonucleotide-based treatment for NASH.</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Coronaviruses</w:t>
      </w:r>
    </w:p>
    <w:p>
      <w:pPr>
        <w:spacing w:after="0" w:line="108"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auto"/>
        </w:rPr>
        <w:t>SARS-CoV-2 is responsible for the COVID-19 pandemic, which has infected more than 274 million individuals and is responsible for the death of more than 5.3 million individuals worldwide, including approximately 950,000 in the US, as of early March 2022. After MERS and SARS (SARS-CoV-1), SARS-CoV-2 is the third known coronavirus to cross over from animal species to humans and cause significant morbidity and mortality in the past 20 years. Due to the ongoing COVID-19 pandemic and the risk of additional novel coronaviruses emerging in the future, there is a need to develop novel therapeutics with pan-coronavirus activity that have a high barrier to resistance. While multiple vaccines have recently become available, it is unlikely that vaccination will be fully efficacious against all emerging variants and/or widely adopted, indicating that the need for effective therapeutic treatments will remain. Two orally available therapeutics have been authorized for emergency use for the treatment of COVID-19, but both have important limitations related to sub-optimal efficacy (molnupiravir, a nucleoside analog; Merck) or the need for ritonavir boosting (PF-07321332/nirmatrelvir, a protease inhibitor; Pfizer). We have identified multiple protease inhibitors that are more potent than nirmatrelvir and don’t require ritonavir boosting, which may offer important clinical advantages in the future treatment of COVID-19 and other coronaviruses. We anticipate initiating Phase 1 enabling nonclinical studies of one of our SARS-CoV-2 protease inhibitors in the third quarter of 2022 with subsequent initiation of clinical studies in the first quarter of 2023.</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Disease overview and biology</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life cycle of SARS-CoV-2 is illustrated in the figure below. The spike (S) protein binds to the angiotensin-converting enzyme 2 cellular receptor, leading to a fusion of the viral envelope with the cell membrane through the endosomal pathway. SARS-CoV-2 RNA is then released into the host cell and is subsequently translated into viral replicase polyproteins pp1a and 1ab, which are then cleaved into small products by viral protease to form the RNA replicase–transcriptase complex. The polymerase produces a series of subgenomic mRNAs by transcription, which are eventually translated into relevant viral proteins. Viral proteins and genome RNA are subsequently assembled into virions in the endoplasmic reticulum and Golgi and then transported via vesicles and released out of the infected cells through exocytosis.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146050</wp:posOffset>
            </wp:positionV>
            <wp:extent cx="5186045" cy="45948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86045" cy="459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plan to advance our coronavirus drug candidate(s) individually in Phase 1 studies designed to evaluate the safety and pharmacokinetics of single and multiple ascending doses in healthy volunteers. Following this, we plan to conduct dose range finding Phase 2 studies in subjects infected with COVID-19 to evaluate proof of activity and identify a dosing regimen(s) to advance into larger confirmatory studies that could support drug registration. Following the initial Phase 2 study, we may evaluate combinations of our drug candidates, with or without the then-prevailing standard of care. We may assess a range of patient populations, including community and hospital-based subjects, as well as various degrees of disease severity, following the establishment of proof of activity. In addition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28" w:name="page29"/>
    <w:bookmarkEnd w:id="28"/>
    <w:p>
      <w:pPr>
        <w:ind w:right="440"/>
        <w:spacing w:after="0" w:line="360" w:lineRule="auto"/>
        <w:rPr>
          <w:sz w:val="20"/>
          <w:szCs w:val="20"/>
          <w:color w:val="auto"/>
        </w:rPr>
      </w:pPr>
      <w:r>
        <w:rPr>
          <w:rFonts w:ascii="Arial" w:cs="Arial" w:eastAsia="Arial" w:hAnsi="Arial"/>
          <w:sz w:val="18"/>
          <w:szCs w:val="18"/>
          <w:color w:val="auto"/>
        </w:rPr>
        <w:t xml:space="preserve">to evaluating our drug candidates as treatment options after infection, we may also evaluate them as potential prophylactic or post-exposure therapies. </w:t>
      </w:r>
      <w:r>
        <w:rPr>
          <w:rFonts w:ascii="Arial" w:cs="Arial" w:eastAsia="Arial" w:hAnsi="Arial"/>
          <w:sz w:val="18"/>
          <w:szCs w:val="18"/>
          <w:b w:val="1"/>
          <w:bCs w:val="1"/>
          <w:color w:val="auto"/>
        </w:rPr>
        <w:t>Early-stage discovery efforts</w:t>
      </w:r>
    </w:p>
    <w:p>
      <w:pPr>
        <w:ind w:right="40" w:firstLine="509"/>
        <w:spacing w:after="0" w:line="248" w:lineRule="auto"/>
        <w:rPr>
          <w:sz w:val="20"/>
          <w:szCs w:val="20"/>
          <w:color w:val="auto"/>
        </w:rPr>
      </w:pPr>
      <w:r>
        <w:rPr>
          <w:rFonts w:ascii="Arial" w:cs="Arial" w:eastAsia="Arial" w:hAnsi="Arial"/>
          <w:sz w:val="18"/>
          <w:szCs w:val="18"/>
          <w:color w:val="auto"/>
        </w:rPr>
        <w:t>For all of our drug candidates, we are pursuing backup candidates in order to create a robust portfolio of assets which we can draw upon to create an optimized combination regimen for treatment in all of our disease areas of interest. We are also targeting additional novel viral and host targets with our oligonucleotide and small molecule platforms.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08"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All of our assets are currently pre-commercial, and as such we have not yet established a sales and marketing organization or distribution capabilities. We intend to pursue independent development and commercialization in select indications and markets, and plan to build a commercial infrastructure to support a specialty sales and marketing organization, as well as distribution capabilities. Similar to our research, clinical and manufacturing operations, we expect to manage sales, marketing and distribution through dedicated staff and third-party contractors and consultants. We may opportunistically explore licensing agreements, collaborations or partnerships with one or more pharmaceutical companies to enhance our commercial capabilities.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08"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We are currently developing drug candidates in two primary modalities: oligonucleotides and small molecules. We have internal oligonucleotide and small molecule chemistry teams that are able to produce drug candidates at sufficient scale to support discovery activities. In addition, we have a dedicated internal chemistry, manufacturing and control (CMC) team that works with contract development and manufacturing organizations to produce drug candidates in larger quantities, including to support nonclinical and clinical studies. We have built the teams and infrastructure needed to conduct and manage process development, analytical development, quality, manufacturing and supply chain activities.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Oligonucleotides</w:t>
      </w:r>
    </w:p>
    <w:p>
      <w:pPr>
        <w:spacing w:after="0" w:line="104"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Oligonucleotide manufacturing technology has matured significantly over the last several decades, with advanced oligonucleotide synthesizers commercially available to support smaller-scale synthesis, and a network of oligonucleotide contract manufacturers available to support larger-scale syntheses. Our internal CMC team supports our contract manufacturers with process development and optimization, or, where needed, we may collaborate with external consultants and contractors to optimize synthesis and scale-up.</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Small molecules</w:t>
      </w:r>
    </w:p>
    <w:p>
      <w:pPr>
        <w:spacing w:after="0" w:line="104"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Small molecule manufacturing is a mature industry and is well supported by an extensive network of contract manufacturers. Like our approach for oligonucleotides, our internal CMC team conducts process development and optimization, and supports our contract manufacturers with technology transfer.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The life sciences industry is highly competitive and subject to rapid and significant technological change. Our competitors include multinational pharmaceutical companies, established biotechnology companies, universities and other research institutions. Many of our competitors have significantly greater financial, technical, human and other resources than we do and may be better equipped to develop, manufacture and market technologically superior products. In addition, many of these competitors may have significantly greater experience than we have in undertaking nonclinical studies and human clinical trials of new pharmaceutical drug candidates and in obtaining regulatory approvals of human therapeutic candidates. Accordingly, our competitors may develop superior drug candidates and may succeed in obtaining FDA approval for such candidates. Many of our competitors have established distribution channels for the commercialization of their products, whereas we have no such channel or capabilities. In addition, many competitors have greater name recognition and more extensive collaborative relationships.</w:t>
      </w:r>
    </w:p>
    <w:p>
      <w:pPr>
        <w:spacing w:after="0" w:line="73" w:lineRule="exact"/>
        <w:rPr>
          <w:sz w:val="20"/>
          <w:szCs w:val="20"/>
          <w:color w:val="auto"/>
        </w:rPr>
      </w:pPr>
    </w:p>
    <w:p>
      <w:pPr>
        <w:ind w:right="220" w:firstLine="509"/>
        <w:spacing w:after="0" w:line="294" w:lineRule="auto"/>
        <w:rPr>
          <w:sz w:val="20"/>
          <w:szCs w:val="20"/>
          <w:color w:val="auto"/>
        </w:rPr>
      </w:pPr>
      <w:r>
        <w:rPr>
          <w:rFonts w:ascii="Arial" w:cs="Arial" w:eastAsia="Arial" w:hAnsi="Arial"/>
          <w:sz w:val="16"/>
          <w:szCs w:val="16"/>
          <w:color w:val="auto"/>
        </w:rPr>
        <w:t>Any drug candidates that we successfully develop and commercialize may compete with existing therapies and/or new therapies that may become available in the future. Our competitors may obtain regulatory approval of their candidates more rapidly than we do or may obtain patent protection or other intellectual property rights that limit our ability to develop or commercialize our drug candidates or any future drug candidates. Our competitors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9" w:name="page30"/>
    <w:bookmarkEnd w:id="29"/>
    <w:p>
      <w:pPr>
        <w:spacing w:after="0" w:line="253" w:lineRule="auto"/>
        <w:rPr>
          <w:sz w:val="20"/>
          <w:szCs w:val="20"/>
          <w:color w:val="auto"/>
        </w:rPr>
      </w:pPr>
      <w:r>
        <w:rPr>
          <w:rFonts w:ascii="Arial" w:cs="Arial" w:eastAsia="Arial" w:hAnsi="Arial"/>
          <w:sz w:val="17"/>
          <w:szCs w:val="17"/>
          <w:color w:val="auto"/>
        </w:rPr>
        <w:t>may also develop drugs that are more effective, more convenient, more widely used and less costly or that have a better safety profile than our drugs (if any) and these competitors may also be more successful than we are in manufacturing and marketing their products. If we are unable to compete effectively against our competitors, we may not be able to commercialize our drug candidates or any future drug candidates or achieve a competitive position in the market. This would adversely affect our ability to generate revenue. It is likely that our competitors, either working alone or in collaboration with others, will have significantly greater financial resources, an established presence in target markets, expertise in research and development, manufacturing, nonclinical and clinical testing, and experience obtaining regulatory approvals and reimbursement and marketing approved products than we do. We are also in competition for the limited qualified scientific, sales, marketing and management personnel, space at clinical trial sites, for patient registration for clinical trials and technologies complementary to, or necessary for, our programs. New competitors may emerge, smaller or early-stage companies may grow, either on their own or through collaborative arrangements with large and established companies and competitors may concentrate through mergers and acquisitions.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Chronic Hepatitis B (CHB)</w:t>
      </w:r>
    </w:p>
    <w:p>
      <w:pPr>
        <w:spacing w:after="0" w:line="10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Current FDA-approved treatments for chronic HBV infection include peg-IFNα, marketed by Roche Holding AG (Roche), and oral antiviral agents such as nucleoside analogs, marketed by Gilead Sciences, Inc. (Gilead) and Bristol-Myers Squibb Company. These treatments do not lead to either a functional or a complete cure in the vast majority of patients, and in the case of nucleoside analogs, may require life-long treatment. Several large and small pharmaceutical companies are developing programs with various mechanisms of action, to be used alone or in combination, with the goal of achieving higher rates of functional or complete cure in patients with CHB. Companies with oligonucleotide agents in clinical development include Arbutus Biopharma Corporation, Dicerna Pharmaceuticals, Inc. (together with Roche), Ionis Pharmaceuticals, Inc. (together with GlaxoSmithKline plc (GSK)), Arrowhead Pharmaceuticals, Inc. (together with Janssen Pharmaceuticals, Inc. (Janssen)), and Vir Biotechnology, Inc. (together with Alnylam Pharmaceuticals, Inc.). Several companies are developing CAMs, including Johnson &amp; Johnson, Assembly Biosciences Inc., Arbutus Biopharma Corporation, Roche and Enanta Pharmaceuticals. Several companies, including Altimmune, Inc., GSK, Janssen and Transgene SA, are developing therapeutic vaccines for HBV, and several others have approved HBV vaccines, including Dynavax Technologies, Inc., GSK, Johnson &amp; Johnson, and Merck. Replicor, Inc. is developing nucleic acid polymers (NAPs) for use in CHB patients.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Nonalcoholic Steatohepatitis (NASH)</w:t>
      </w:r>
    </w:p>
    <w:p>
      <w:pPr>
        <w:spacing w:after="0" w:line="104" w:lineRule="exact"/>
        <w:rPr>
          <w:sz w:val="20"/>
          <w:szCs w:val="20"/>
          <w:color w:val="auto"/>
        </w:rPr>
      </w:pPr>
    </w:p>
    <w:p>
      <w:pPr>
        <w:ind w:right="140" w:firstLine="509"/>
        <w:spacing w:after="0" w:line="253" w:lineRule="auto"/>
        <w:rPr>
          <w:sz w:val="20"/>
          <w:szCs w:val="20"/>
          <w:color w:val="auto"/>
        </w:rPr>
      </w:pPr>
      <w:r>
        <w:rPr>
          <w:rFonts w:ascii="Arial" w:cs="Arial" w:eastAsia="Arial" w:hAnsi="Arial"/>
          <w:sz w:val="17"/>
          <w:szCs w:val="17"/>
          <w:color w:val="auto"/>
        </w:rPr>
        <w:t>There currently are no FDA-approved treatments for NASH. A number of pharmaceutical companies, including AbbVie, Inc., AstraZeneca PLC/MedImmune LLC, Bristol-Myers Squibb Company, Eli Lilly and Company, Janssen, Merck, Novartis Pharmaceuticals Corporation (together with Pfizer, Inc.), Novo Nordisk A/S, Pfizer Inc., Roche, Sanofi S.A. and Takeda Pharmaceutical Company Limited (together with HemoShear Therapeutics, LLC), as well as large and small biotechnology companies such as 89bio, Inc., Akero Therapeutics, Inc., Blade Therapeutics, Inc., Cirius Therapeutics, Inc., Enanta Pharmaceuticals, Inc., FronThera US Pharmaceuticals LLC, Galectin Therapeutics Inc., Galmed Pharmaceuticals Ltd., Genfit SA, Gilead, Intercept Pharmaceuticals, Inc., Inventiva Pharma SA, Madrigal Pharmaceuticals, Inc., MediciNova, Inc., NGM Biopharmaceuticals, Inc., Pliant Therapeutics, Inc. (together with Novartis), Terns Pharmaceuticals, Inc. and Viking Therapeutics, Inc. are pursuing the development or marketing of pharmaceuticals that target NASH. It is also probable that the number of companies seeking to develop products and therapies for the treatment of serious metabolic diseases, such as NASH, will increase.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Coronaviruses</w:t>
      </w:r>
    </w:p>
    <w:p>
      <w:pPr>
        <w:spacing w:after="0" w:line="104" w:lineRule="exact"/>
        <w:rPr>
          <w:sz w:val="20"/>
          <w:szCs w:val="20"/>
          <w:color w:val="auto"/>
        </w:rPr>
      </w:pPr>
    </w:p>
    <w:p>
      <w:pPr>
        <w:ind w:firstLine="509"/>
        <w:spacing w:after="0" w:line="266" w:lineRule="auto"/>
        <w:rPr>
          <w:sz w:val="20"/>
          <w:szCs w:val="20"/>
          <w:color w:val="auto"/>
        </w:rPr>
      </w:pPr>
      <w:r>
        <w:rPr>
          <w:rFonts w:ascii="Arial" w:cs="Arial" w:eastAsia="Arial" w:hAnsi="Arial"/>
          <w:sz w:val="16"/>
          <w:szCs w:val="16"/>
          <w:color w:val="auto"/>
        </w:rPr>
        <w:t>In addition to remdesivir, which is FDA-approved, on December 22, 2021, Pfizer, Inc. received an emergency use authorization from the FDA for Paxlovid, an orally administered SARS-CoV-2 protease inhibitor co-administered with ritonavir. Similarly, Merck (together with Ridgeback Bio), is developing the drug molnupiravir, an oral antiviral drug which has been issued an emergency use authorization by the FDA on December 23, 2021. Several drugs are likely being used off-label for treatment, such as dexamethasone. Several approved drugs are being studied for their utility in reducing the</w:t>
      </w:r>
    </w:p>
    <w:p>
      <w:pPr>
        <w:spacing w:after="0" w:line="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severity of SARS-CoV-2 infections, including Soliris by Alexion Pharmaceuticals Inc., Atea Pharmaceuticals, Inc.</w:t>
      </w:r>
      <w:r>
        <w:rPr>
          <w:rFonts w:ascii="Arial" w:cs="Arial" w:eastAsia="Arial" w:hAnsi="Arial"/>
          <w:sz w:val="21"/>
          <w:szCs w:val="21"/>
          <w:color w:val="auto"/>
        </w:rPr>
        <w:t>,</w:t>
      </w:r>
      <w:r>
        <w:rPr>
          <w:rFonts w:ascii="Arial" w:cs="Arial" w:eastAsia="Arial" w:hAnsi="Arial"/>
          <w:sz w:val="18"/>
          <w:szCs w:val="18"/>
          <w:color w:val="auto"/>
        </w:rPr>
        <w:t xml:space="preserve"> Jakafi by Incyte Corporation, and Kevzara by Sanofi S.A./Regeneron Pharmaceuticals, Inc. There are significant efforts globally to develop both therapeutic and prophylactic drug candidates. Enanta Pharmaceuticals had announced nomination of clinical candidate EDP-235 which is its lead oral protease inhibitor specifically designed for the treatment of COVID-19 and which is planned to</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0" w:name="page31"/>
    <w:bookmarkEnd w:id="30"/>
    <w:p>
      <w:pPr>
        <w:ind w:right="40"/>
        <w:spacing w:after="0" w:line="271" w:lineRule="auto"/>
        <w:rPr>
          <w:sz w:val="20"/>
          <w:szCs w:val="20"/>
          <w:color w:val="auto"/>
        </w:rPr>
      </w:pPr>
      <w:r>
        <w:rPr>
          <w:rFonts w:ascii="Arial" w:cs="Arial" w:eastAsia="Arial" w:hAnsi="Arial"/>
          <w:sz w:val="16"/>
          <w:szCs w:val="16"/>
          <w:color w:val="auto"/>
        </w:rPr>
        <w:t>enter the clinic in early 2022. Pardes Biosciences protease inhibitor, PBI-0451, is currently in Phase 1 clinical study with top-line results expected to be reported in the first quarter of 2022 and where early results showing potential for an unboosted oral regimen against COVID-19. In addition, Novartis is working on a once a day, pan-coronavirus, main protease inhibitor pill and plans to start human testing in 2022, and Shionogi has filed for manufacture and sales approval in Japan for its oral therapeutic drug for COVID-19, S-217622, a 3CL protease inhibitor for which Shiongoi has completed the analysis of primary endpoints in its Phase 2b part of a Phase 2/3 clinical trial. Several companies are focused on antibody treatments, including Amgen Inc. (together with Adaptive Biotechnologies Corporation), AbCellera Biologics, Inc. (together with Eli Lilly and Company), Regeneron Pharmaceuticals, Inc. and Vir Biotechnology, Inc. (together with GSK, Biogen Inc. and WuXi Biologics Ltd.). Numerous efforts are underway to develop vaccines against SARS-CoV-2, including by Altimmune, Inc., AstraZeneca PLC (together with Oxford University), BioNTech SE (together with Pfizer Inc.), GSK (together with Sanofi S.A.), Heat Biologics, Inc., Inovio Pharmaceuticals, Inc., Johnson &amp; Johnson, Moderna, Inc., Novavax, Inc., and Vaxart, Inc.</w:t>
      </w:r>
    </w:p>
    <w:p>
      <w:pPr>
        <w:spacing w:after="0" w:line="6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For example, BioNTech SE (together with Pfizer Inc.), Janssen Pharmaceutical Companies of Johnson &amp; Johnson and Moderna Inc. have each developed COVID-19 vaccines that have received FDA approval and/or authorization for emergency use and are being widely administered. In addition, on December 22, 2021, Pfizer, Inc. received an emergency use authorization from the FDA for Paxlovid, an orally administered COVID-19 protease inhibitor co-administered with ritonavir. Similarly, Merck (together with Ridgeback Bio), is developing the drug molnupiravir, an oral antiviral drug which also has been issued an emergency use authorization by the FDA on December 23, 2021.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collaborations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Emory University</w:t>
      </w:r>
    </w:p>
    <w:p>
      <w:pPr>
        <w:spacing w:after="0" w:line="104" w:lineRule="exact"/>
        <w:rPr>
          <w:sz w:val="20"/>
          <w:szCs w:val="20"/>
          <w:color w:val="auto"/>
        </w:rPr>
      </w:pPr>
    </w:p>
    <w:p>
      <w:pPr>
        <w:ind w:right="160" w:firstLine="509"/>
        <w:spacing w:after="0" w:line="252" w:lineRule="auto"/>
        <w:rPr>
          <w:sz w:val="20"/>
          <w:szCs w:val="20"/>
          <w:color w:val="auto"/>
        </w:rPr>
      </w:pPr>
      <w:r>
        <w:rPr>
          <w:rFonts w:ascii="Arial" w:cs="Arial" w:eastAsia="Arial" w:hAnsi="Arial"/>
          <w:sz w:val="17"/>
          <w:szCs w:val="17"/>
          <w:color w:val="auto"/>
        </w:rPr>
        <w:t>In June 2018, we entered into the Emory License Agreement. In June 2020, we amended the Emory License Agreement (the Emory Amendment). Under the Emory License Agreement, Emory granted us a worldwide, sublicensable license under certain of its intellectual property rights to make, have made, develop, use, offer to sell, sell, import and export products containing certain compounds relating to Emory’s hepatitis B virus capsid assembly modulator technology, for all therapeutic and prophylactic uses. Such license is initially exclusive with respect to specified licensed patents owned by Emory and non-exclusive with respect to certain of Emory’s specified know-how. Beginning in June 2022, the license to such patents will become non-exclusive with respect to all fields except for the treatment and prevention of HBV; however, we may select up to six compounds which will maintain exclusivity with respect to all therapeutic and prophylactic uses. With respect to all other compounds that are enabled by the licensed patents, those which are jointly invented by Aligos and Emory or inventors in the Schinazi laboratory, or which are disclosed in a specified licensed patent, are licensed to us exclusively including as to Emory, whereas all other such compounds are licensed to us non-exclusively. We have the right to sublicense rights licensed under the Emory License Agreement, provided that the sublicense agreement must be in compliance and consistent with the terms of the Emory License Agreement.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1" w:name="page32"/>
    <w:bookmarkEnd w:id="31"/>
    <w:p>
      <w:pPr>
        <w:jc w:val="both"/>
        <w:ind w:right="160" w:firstLine="509"/>
        <w:spacing w:after="0" w:line="270" w:lineRule="auto"/>
        <w:rPr>
          <w:sz w:val="20"/>
          <w:szCs w:val="20"/>
          <w:color w:val="auto"/>
        </w:rPr>
      </w:pPr>
      <w:r>
        <w:rPr>
          <w:rFonts w:ascii="Arial" w:cs="Arial" w:eastAsia="Arial" w:hAnsi="Arial"/>
          <w:sz w:val="17"/>
          <w:szCs w:val="17"/>
          <w:color w:val="auto"/>
        </w:rPr>
        <w:t>Emory reserves the right for itself to practice, and have practiced by other entities solely for purposes of collaborative research with Emory, under the licensed patents for educational purposes, Emory’s internal purposes, and for non-commercial research, patient care and treatment. Emory can further grant licenses to not-for-profit and governmental institutions for their internal non-commercial research and scholarly use.</w:t>
      </w:r>
    </w:p>
    <w:p>
      <w:pPr>
        <w:spacing w:after="0" w:line="16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Ownership of any new inventions arising out of our activities under the Emory License Agreement follows the inventorship laws of the United States. With respect to the licensed patents owned by Emory, we are required to prepare documents and filings for the prosecution and maintenance of such licensed patents, while Emory retains the option to provide final edits and approval of such documents and is responsible for the actual filing of such documents. We are responsible for the cost of the prosecution and maintenance of the licensed patents, and we have the first right, but not the obligation, to enforce such patents. We are solely responsible for the costs of any lawsuits we elect to initiate to enforce the licensed patents and cannot enter into a settlement in respect of such lawsuits without the prior written consent of Emory. Any sums recovered in such lawsuits will be shared equally between us and Emory after reimbursement of our costs for such litigation, except that for any award based on lost profits, Emory shall recover the greater of fifty percent of the award or the royalty Emory would have received had the infringing sales been made by us.</w:t>
      </w:r>
    </w:p>
    <w:p>
      <w:pPr>
        <w:spacing w:after="0" w:line="167" w:lineRule="exact"/>
        <w:rPr>
          <w:sz w:val="20"/>
          <w:szCs w:val="20"/>
          <w:color w:val="auto"/>
        </w:rPr>
      </w:pPr>
    </w:p>
    <w:p>
      <w:pPr>
        <w:ind w:right="40" w:firstLine="515"/>
        <w:spacing w:after="0" w:line="219" w:lineRule="auto"/>
        <w:rPr>
          <w:sz w:val="20"/>
          <w:szCs w:val="20"/>
          <w:color w:val="auto"/>
        </w:rPr>
      </w:pPr>
      <w:r>
        <w:rPr>
          <w:rFonts w:ascii="Arial" w:cs="Arial" w:eastAsia="Arial" w:hAnsi="Arial"/>
          <w:sz w:val="18"/>
          <w:szCs w:val="18"/>
          <w:color w:val="auto"/>
        </w:rPr>
        <w:t>The technology claimed by the licensed patents under the Emory License Agreement may have been developed using U.S. government funding and the licenses therefore may be subject to a non-exclusive license held by the U.S. government, certain requirements that licensed products be manufactured substantially in the United States and U.S. government march-in rights. For more information on risks related to technology developed using government funding see the section titled “Risk Factors—Risks related to intellectual property.”</w:t>
      </w:r>
    </w:p>
    <w:p>
      <w:pPr>
        <w:spacing w:after="0" w:line="163" w:lineRule="exact"/>
        <w:rPr>
          <w:sz w:val="20"/>
          <w:szCs w:val="20"/>
          <w:color w:val="auto"/>
        </w:rPr>
      </w:pPr>
    </w:p>
    <w:p>
      <w:pPr>
        <w:ind w:right="140" w:firstLine="515"/>
        <w:spacing w:after="0" w:line="235" w:lineRule="auto"/>
        <w:rPr>
          <w:sz w:val="20"/>
          <w:szCs w:val="20"/>
          <w:color w:val="auto"/>
        </w:rPr>
      </w:pPr>
      <w:r>
        <w:rPr>
          <w:rFonts w:ascii="Arial" w:cs="Arial" w:eastAsia="Arial" w:hAnsi="Arial"/>
          <w:sz w:val="18"/>
          <w:szCs w:val="18"/>
          <w:color w:val="auto"/>
        </w:rPr>
        <w:t>Under the terms of the Emory License Agreement, we are obligated to use commercially reasonable efforts to bring licensed products to market in accordance with a mutually agreed upon development plan.</w:t>
      </w:r>
    </w:p>
    <w:p>
      <w:pPr>
        <w:spacing w:after="0" w:line="67"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Pursuant to the Emory License Agreement, we paid an upfront fee of $290,000 to Emory, reimbursed Emory for past patent expenses, and issued a convertible promissory note with a principal amount of $600,000 to Emory. In August 2018, the convertible promissory note was cancelled and converted into 64,980 shares of Series A convertible preferred stock. We paid Emory an additional $150,000 in connection with the Emory Amendment entered into in June 2020, with an additional obligation to pay up to a maximum of $35,000. On the same date, the Company entered into a collaboration agreement with Emory, with the initial research plan pertaining to the synthesis and evaluation of the compounds licensed through the additional patent rights granted in the amended license agreement. The research plan terminates one year from the effective date, with the Company having an option to extend for a second year. In connection with the research plan, the Company will provide Emory funding up to $270,000 per year.</w:t>
      </w:r>
    </w:p>
    <w:p>
      <w:pPr>
        <w:spacing w:after="0" w:line="55" w:lineRule="exact"/>
        <w:rPr>
          <w:sz w:val="20"/>
          <w:szCs w:val="20"/>
          <w:color w:val="auto"/>
        </w:rPr>
      </w:pPr>
    </w:p>
    <w:p>
      <w:pPr>
        <w:ind w:right="40" w:firstLine="554"/>
        <w:spacing w:after="0" w:line="270" w:lineRule="auto"/>
        <w:rPr>
          <w:sz w:val="20"/>
          <w:szCs w:val="20"/>
          <w:color w:val="auto"/>
        </w:rPr>
      </w:pPr>
      <w:r>
        <w:rPr>
          <w:rFonts w:ascii="Arial" w:cs="Arial" w:eastAsia="Arial" w:hAnsi="Arial"/>
          <w:sz w:val="16"/>
          <w:szCs w:val="16"/>
          <w:color w:val="auto"/>
        </w:rPr>
        <w:t>Additionally, we agreed to pay Emory up to an aggregate of $125 million upon the achievement of specified development, regulatory, and commercial milestones, and all ongoing patent costs. We also agreed to pay Emory tiered single-digit royalties on worldwide annual net sales of licensed products, on a quarterly basis and calculated on a product-by-product basis. With respect to licensed products containing any of a specified subset of the licensed compounds, such royalties range from a mid-single digit to a high-single digit percentage rate. With respect to licensed products which do not contain such compounds, the royalties span a range of percentage rates within the mid-single digits if a Phase 1 clinical trial is initiated for the product within three years of the effective date of the Emory License Agreement, and range from a low-single digit to a mid-single digit rate if a Phase 1 clinical trial is initiated more than three years after the effective date. Our obligation to pay royalties expires on a product-by-product and country-by-country basis upon the later of ten years after the date of first commercial sale of such product in such country and the expiration of the last-to-expire licensed patent right covering such product in such country. Lastly, if we sublicense any of the licensed patent rights, we are required to pay Emory a percentage of any license issuance or upfront fees we might receive, with the percent decreasing if we sublicense after the first anniversary and third anniversary of the effective date of the Emory License Agreement from a mid-double digit to a mid-single digit percentage rate. To date we have not granted any sublicense.</w:t>
      </w:r>
    </w:p>
    <w:p>
      <w:pPr>
        <w:spacing w:after="0" w:line="59"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color w:val="auto"/>
        </w:rPr>
        <w:t>The Emory License Agreement will expire upon expiration of the last-to-expire patent licensed to us thereunder. We may terminate the Emory License Agreement at any time in its entirety or with respect to specific patents for convenience by providing Emory with 90 days’ written notice and are required to terminate the Emory License Agreement if we make a final decision to cease research, development or commercialization of any licensed products. Either party may terminate the Emory License Agreement if the other party materially breaches such</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32" w:name="page33"/>
    <w:bookmarkEnd w:id="32"/>
    <w:p>
      <w:pPr>
        <w:ind w:right="40"/>
        <w:spacing w:after="0" w:line="239" w:lineRule="auto"/>
        <w:rPr>
          <w:sz w:val="20"/>
          <w:szCs w:val="20"/>
          <w:color w:val="auto"/>
        </w:rPr>
      </w:pPr>
      <w:r>
        <w:rPr>
          <w:rFonts w:ascii="Arial" w:cs="Arial" w:eastAsia="Arial" w:hAnsi="Arial"/>
          <w:sz w:val="18"/>
          <w:szCs w:val="18"/>
          <w:color w:val="auto"/>
        </w:rPr>
        <w:t>agreement and fails to timely cure such breach. Emory may terminate the Emory License Agreement if we fail to reach a milestone at an agreed date and fail to timely provide commercially reasonable evidence of a reasonable, good-faith business or technical justification for such failure. Upon termination of the Emory License Agreement for our material breach, we will, upon Emory’s request, grant to Emory a non-exclusive, royalty-free license to all of our rights in patents owned by, licensed or controlled by us to the extent they relate to our exercise of the licensed rights under the Emory License Agreement and include claims covering the manufacture, use or sale of any licensed products containing the licensed compounds. The Emory License Agreement will automatically terminate if we become bankrupt or insolvent or if we challenge the validity or enforceability of any patent licensed to us under the Emory License Agreement.</w:t>
      </w:r>
    </w:p>
    <w:p>
      <w:pPr>
        <w:spacing w:after="0" w:line="83" w:lineRule="exact"/>
        <w:rPr>
          <w:sz w:val="20"/>
          <w:szCs w:val="20"/>
          <w:color w:val="auto"/>
        </w:rPr>
      </w:pPr>
    </w:p>
    <w:p>
      <w:pPr>
        <w:jc w:val="both"/>
        <w:ind w:right="400" w:firstLine="509"/>
        <w:spacing w:after="0" w:line="248" w:lineRule="auto"/>
        <w:rPr>
          <w:sz w:val="20"/>
          <w:szCs w:val="20"/>
          <w:color w:val="auto"/>
        </w:rPr>
      </w:pPr>
      <w:r>
        <w:rPr>
          <w:rFonts w:ascii="Arial" w:cs="Arial" w:eastAsia="Arial" w:hAnsi="Arial"/>
          <w:sz w:val="18"/>
          <w:szCs w:val="18"/>
          <w:color w:val="auto"/>
        </w:rPr>
        <w:t>We have agreed to indemnify Emory and certain others under the Emory License Agreement for losses they may suffer arising out of the rights licensed thereunder or the manufacturing, testing, design, use, sale or labeling of any product containing a licensed compound, unless caused by such potential indemnitee’s negligence.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Luxna Biotech Co., Ltd.</w:t>
      </w:r>
    </w:p>
    <w:p>
      <w:pPr>
        <w:spacing w:after="0" w:line="104" w:lineRule="exact"/>
        <w:rPr>
          <w:sz w:val="20"/>
          <w:szCs w:val="20"/>
          <w:color w:val="auto"/>
        </w:rPr>
      </w:pPr>
    </w:p>
    <w:p>
      <w:pPr>
        <w:jc w:val="both"/>
        <w:ind w:right="100" w:firstLine="509"/>
        <w:spacing w:after="0" w:line="269" w:lineRule="auto"/>
        <w:rPr>
          <w:sz w:val="20"/>
          <w:szCs w:val="20"/>
          <w:color w:val="auto"/>
        </w:rPr>
      </w:pPr>
      <w:r>
        <w:rPr>
          <w:rFonts w:ascii="Arial" w:cs="Arial" w:eastAsia="Arial" w:hAnsi="Arial"/>
          <w:sz w:val="16"/>
          <w:szCs w:val="16"/>
          <w:color w:val="auto"/>
        </w:rPr>
        <w:t>In December 2018, we entered into the Luxna Agreement. Under the Luxna Agreement, Luxna granted us an exclusive, worldwide, sublicenseable license under certain of Luxna’s intellectual property rights to research, develop, make, have made, and commercialize for all therapeutic and prophylactic uses, (i) products containing oligonucleotides targeting the hepatitis B virus genome, (ii) products containing certain oligonucleotides targeting up to three genes which contribute to NASH, which we may select at any time during the first eight years of the term, to the extent not licensed to a third party, and</w:t>
      </w:r>
    </w:p>
    <w:p>
      <w:pPr>
        <w:spacing w:after="0" w:line="1" w:lineRule="exact"/>
        <w:rPr>
          <w:sz w:val="20"/>
          <w:szCs w:val="20"/>
          <w:color w:val="auto"/>
        </w:rPr>
      </w:pPr>
    </w:p>
    <w:p>
      <w:pPr>
        <w:ind w:firstLine="8"/>
        <w:spacing w:after="0" w:line="251" w:lineRule="auto"/>
        <w:tabs>
          <w:tab w:leader="none" w:pos="315"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products containing oligonucleotides targeting up to three genes which contribute to HCC, which we may select at any time during the first three years of the term. During the first three years of the term, Luxna will not grant rights to any third parties under the licensed patents to research or develop any compounds or products targeting an HCC gene target. As of June 30, 2020, we have identified two HCC gene targets and two NASH gene targets for the exclusive license. In addition, we have a right of first refusal for any additional xeno-nucleic acid (XNA) and/or gapmer modifications that are not claimed by the licensed patents that Luxna controls. If we exercise this right, we and Luxna will use good faith, diligent efforts to negotiate additional commercially reasonable financial terms for such additional modifications. We are obligated to use commercially reasonable efforts to pursue the research, development and commercialization of the licensed products throughout the term. We have the right to sublicense our licensed rights provided that the sublicense agreement must be in compliance and consistent with the terms of the Luxna Agreement.</w:t>
      </w:r>
    </w:p>
    <w:p>
      <w:pPr>
        <w:spacing w:after="0" w:line="77"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Additionally, pursuant to an April 2020 amendment to the Luxna Agreement (the Luxna Amendment), we obtained an exclusive, worldwide license under the licensed patents to research, develop, make, have made, and commercialize products containing oligonucleotides targeting three families of viruses: orthomyxoviridae, paramyxoviridae, and coronaviridae (a family which includes SARS-CoV-2).</w:t>
      </w:r>
    </w:p>
    <w:p>
      <w:pPr>
        <w:spacing w:after="0" w:line="56" w:lineRule="exact"/>
        <w:rPr>
          <w:sz w:val="20"/>
          <w:szCs w:val="20"/>
          <w:color w:val="auto"/>
        </w:rPr>
      </w:pPr>
    </w:p>
    <w:p>
      <w:pPr>
        <w:ind w:right="240" w:firstLine="509"/>
        <w:spacing w:after="0" w:line="276" w:lineRule="auto"/>
        <w:rPr>
          <w:sz w:val="20"/>
          <w:szCs w:val="20"/>
          <w:color w:val="auto"/>
        </w:rPr>
      </w:pPr>
      <w:r>
        <w:rPr>
          <w:rFonts w:ascii="Arial" w:cs="Arial" w:eastAsia="Arial" w:hAnsi="Arial"/>
          <w:sz w:val="16"/>
          <w:szCs w:val="16"/>
          <w:color w:val="auto"/>
        </w:rPr>
        <w:t>Pursuant to the Luxna Agreement, we paid Luxna an upfront license fee of $600,000 and pursuant to the Luxna Amendment, we paid Luxna an additional one-time non-refundable fee of $200,000. Additionally, we agreed to pay Luxna up to an aggregate of $55.5 million upon achievement of specified development, regulatory, and commercial milestones. During the year ended December 31, 2021, the Company recognized $500,000 related to milestone payments relating to ALG-020572. We also agreed to pay Luxna tiered royalties on worldwide annual net sales of licensed products, on a product-by-product basis, spanning a range of rates within low-single digit percentages, on a quarterly basis. With respect to each licensed product, our obligation to pay royalties will continue until the expiration of the last-to-expire licensed patent covering such licensed product in any country.</w:t>
      </w:r>
    </w:p>
    <w:p>
      <w:pPr>
        <w:spacing w:after="0" w:line="53"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Luxna’s rights to the intellectual property subject to the Luxna Agreement stem from an exclusive license (the Luxna-Osaka Agreement) from Osaka University (Osaka) for certain rights pertaining to modifications of XNA and other gapmer technologies covered by the licensed patents. Separately, Osaka granted rights to certain third parties in connection with the licensed patents, such as rights to amido-bridged nucleic acid (AmNA) for specific indications including NASH, rights to manufacture reagents containing the modifications of AmNA and rights to use specified genes. Such rights are not included in the scope of rights granted to us under the Luxna Agreement and the Luxna Agreement does not prevent Osaka from using any of the licensed rights under the Luxna Agreement for its non-commercial research purposes relating to the modifications of XNA.</w:t>
      </w:r>
    </w:p>
    <w:p>
      <w:pPr>
        <w:spacing w:after="0" w:line="67"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Ownership of any new inventions arising out of our activities under the Luxna Agreement will follow the inventorship laws of the United States. Luxna retains the responsibility for the prosecution and maintenance of the licensed patents, provided that Luxna consider our comments and suggestions in connection therewith. We retain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3" w:name="page34"/>
    <w:bookmarkEnd w:id="33"/>
    <w:p>
      <w:pPr>
        <w:ind w:right="100"/>
        <w:spacing w:after="0" w:line="248" w:lineRule="auto"/>
        <w:rPr>
          <w:sz w:val="20"/>
          <w:szCs w:val="20"/>
          <w:color w:val="auto"/>
        </w:rPr>
      </w:pPr>
      <w:r>
        <w:rPr>
          <w:rFonts w:ascii="Arial" w:cs="Arial" w:eastAsia="Arial" w:hAnsi="Arial"/>
          <w:sz w:val="18"/>
          <w:szCs w:val="18"/>
          <w:color w:val="auto"/>
        </w:rPr>
        <w:t>step-in rights should Luxna decide to no longer prosecute or maintain any licensed patents under the Luxna Agreement. We have the first right, but not the obligation, at our sole expense to enforce the licensed patents. In connection with any infringement suit, neither party can enter into a settlement without the prior written consent of the other.</w:t>
      </w:r>
    </w:p>
    <w:p>
      <w:pPr>
        <w:spacing w:after="0" w:line="7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Luxna Agreement will expire upon expiration of the last-to-expire patent licensed to us under the agreement. We may terminate the Luxna Agreement at any time for convenience by providing Luxna with 90 days’ written notice. In addition, we have agreed to terminate the Luxna Agreement if we make a final decision to cease research, development or commercialization of the licensed products. Either party may terminate the Luxna Agreement if the other party materially breaches the Luxna Agreement and fails to timely cure such breach. The Luxna Agreement will automatically terminate if we become bankrupt or insolvent.</w:t>
      </w:r>
    </w:p>
    <w:p>
      <w:pPr>
        <w:spacing w:after="0" w:line="81" w:lineRule="exact"/>
        <w:rPr>
          <w:sz w:val="20"/>
          <w:szCs w:val="20"/>
          <w:color w:val="auto"/>
        </w:rPr>
      </w:pPr>
    </w:p>
    <w:p>
      <w:pPr>
        <w:ind w:right="460" w:firstLine="509"/>
        <w:spacing w:after="0" w:line="248" w:lineRule="auto"/>
        <w:rPr>
          <w:sz w:val="20"/>
          <w:szCs w:val="20"/>
          <w:color w:val="auto"/>
        </w:rPr>
      </w:pPr>
      <w:r>
        <w:rPr>
          <w:rFonts w:ascii="Arial" w:cs="Arial" w:eastAsia="Arial" w:hAnsi="Arial"/>
          <w:sz w:val="18"/>
          <w:szCs w:val="18"/>
          <w:color w:val="auto"/>
        </w:rPr>
        <w:t>We have agreed to indemnify Luxna and certain others under the Luxna Agreement for losses they may suffer arising out of the rights licensed thereunder or the manufacturing, testing, design, use, sale or labeling of any product containing a licensed product, unless caused by such potential indemnitee’s negligence.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Katholieke Universiteit Leuven (KU Leuven)</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On June 25, 2020, we entered into a Research, Licensing and Commercialization Agreement (KU Leuven Agreement) with KU Leuven, under which we are collaborating with KU Leuven’s Rega Institute for Medical Research, as well as its Centre for Drug Design and Discovery, to research and develop potential protease inhibitors for the treatment, diagnosis or prevention of coronaviruses, including of SARS-CoV-2. Unless terminated earlier by either party in accordance with provisions in the agreement, the collaboration period will terminate at the earlier of completion of all collaboration activities or 2.5 years. In connection with the KU Leuven Agreement, KU Leuven and our Company granted each other exclusive cross-licenses to use certain know-how and existing patents of the other party as well as certain joint know-how and joint patents to carry out research and development collaboration activities during the collaboration period. KU Leuven granted to us an exclusive (including as to KU Leuven), worldwide license under certain of KU Leuven’s know-how and existing patents, and certain joint patents and joint know-how, to manufacture and commercialize the licensed products for the treatment, diagnosis or detection of viral infections in humans. KU Leuven reserved the right to use all KU Leuven knowhow, existing KU Leuven patents, joint patents and joint know-how for academic and non-commercial research and teaching purposes.</w:t>
      </w:r>
    </w:p>
    <w:p>
      <w:pPr>
        <w:spacing w:after="0" w:line="72"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As consideration for this license, we are obligated to make payments to KU Leuven, in aggregate, totaling up to but no more than $30.0 million upon the achievement of certain commercial sales milestones. For each licensed product developed through KU Leuven and the Company’s collaborative effort, the Company is obligated to make payments to KU Leuven, in aggregate, totaling up to $32.0 million upon the achievement of certain development and regulatory milestones. The Company is also required to pay KU Leuven a low-to-mid-single digit royalty percentage, subject to certain adjustments, on net sales of applicable products, if any. Unless terminated earlier by either party, the agreement shall continue until the expiration of the last to expire royalty term, which is the later of the expiration or termination of the last valid patent claim covering the manufacture, use, sale or importation of the licensed product in a particular country or 10 years after the first commercial sale of a licensed product.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Research Collaboration with Merck</w:t>
      </w:r>
    </w:p>
    <w:p>
      <w:pPr>
        <w:spacing w:after="0" w:line="104"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In December 2020, we entered into an exclusive License and Research Collaboration Agreement with Merck under which Merck and Aligos will apply our oligonucleotide platform technology to discover, research, optimize and develop oligonucleotides directed against a NASH target and up to one additional liver-targeted cardiometabolic and/or fibroses target.</w:t>
      </w:r>
    </w:p>
    <w:p>
      <w:pPr>
        <w:spacing w:after="0" w:line="74" w:lineRule="exact"/>
        <w:rPr>
          <w:sz w:val="20"/>
          <w:szCs w:val="20"/>
          <w:color w:val="auto"/>
        </w:rPr>
      </w:pPr>
    </w:p>
    <w:p>
      <w:pPr>
        <w:ind w:right="480" w:firstLine="509"/>
        <w:spacing w:after="0" w:line="243" w:lineRule="auto"/>
        <w:rPr>
          <w:sz w:val="20"/>
          <w:szCs w:val="20"/>
          <w:color w:val="auto"/>
        </w:rPr>
      </w:pPr>
      <w:r>
        <w:rPr>
          <w:rFonts w:ascii="Arial" w:cs="Arial" w:eastAsia="Arial" w:hAnsi="Arial"/>
          <w:sz w:val="18"/>
          <w:szCs w:val="18"/>
          <w:color w:val="auto"/>
        </w:rPr>
        <w:t>In January 2022, we entered into an amendment to such License and Research Collaboration Agreement, which expanded our collaboration to include a license to Merck of an early-stage program directed to a second undisclosed NASH target on which we has previously been working independently and separately from Merck. In addition, under this expanded arrangement, Merck has the right to add a third target of interest to the collaboration. This third target, if added, will be for a liver-based cardiometabolic/fibrosis target.</w:t>
      </w:r>
    </w:p>
    <w:p>
      <w:pPr>
        <w:spacing w:after="0" w:line="80"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Under the terms of the original agreement, we received an upfront payment from Merck. Under the amendment, we will receive a payment from Merck to carry out the research program for the second undisclosed NASH target, as well as a further payment to carry out the research plan for any third target that may be later added to the collaboration. With respect to each collaboration target, we will be eligible to receive up to approximately $460 million in development and commercialization milestones as well as tiered royalties on net sales. We will be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4" w:name="page35"/>
    <w:bookmarkEnd w:id="34"/>
    <w:p>
      <w:pPr>
        <w:ind w:right="220"/>
        <w:spacing w:after="0" w:line="261" w:lineRule="auto"/>
        <w:rPr>
          <w:sz w:val="20"/>
          <w:szCs w:val="20"/>
          <w:color w:val="auto"/>
        </w:rPr>
      </w:pPr>
      <w:r>
        <w:rPr>
          <w:rFonts w:ascii="Arial" w:cs="Arial" w:eastAsia="Arial" w:hAnsi="Arial"/>
          <w:sz w:val="18"/>
          <w:szCs w:val="18"/>
          <w:color w:val="auto"/>
        </w:rPr>
        <w:t>primarily responsible for designing, preparing and evaluating the oligonucleotide molecules and delivering optimized lead molecules, and Merck will be responsible for subsequent research, clinical development and commercialization efforts.</w:t>
      </w:r>
    </w:p>
    <w:p>
      <w:pPr>
        <w:spacing w:after="0" w:line="63"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Merck has the right to terminate the License and Research Collaboration Agreement in its entirety or on a target-by-target basis at any time by giving us 90 days’ written notice. From the time Merck assumes responsibility for subsequent research until achievement of a certain regulatory event, we may terminate the License and Research Collaboration Agreement if Merck ceases all development activities for a specified period and fails to resume such activities within a reasonable time after we provide them with a resumption notice. Either party may terminate the License and Research Collaboration Agreement upon the other party’s uncured material breach or insolvency. Upon termination for any reason other than our material breach, we will have the right to acquire from Merck the products and compounds being developed or commercialized by Merck under the License and Research Collaboration Agreement. Good faith negotiations between the Company and Merck would be performed to enact a transition plan.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right="40" w:firstLine="515"/>
        <w:spacing w:after="0" w:line="251" w:lineRule="auto"/>
        <w:rPr>
          <w:sz w:val="20"/>
          <w:szCs w:val="20"/>
          <w:color w:val="auto"/>
        </w:rPr>
      </w:pPr>
      <w:r>
        <w:rPr>
          <w:rFonts w:ascii="Arial" w:cs="Arial" w:eastAsia="Arial" w:hAnsi="Arial"/>
          <w:sz w:val="17"/>
          <w:szCs w:val="17"/>
          <w:color w:val="auto"/>
        </w:rPr>
        <w:t>One key to our success is our ability to establish and maintain protection for our drug candidates, platform technology and know-how, in order to enforce and defend our intellectual property rights. To protect our drug candidates and technologies, we file U.S., Patent Cooperation Treaty (PCT) and foreign patent applications related to our inventions, improvements, manufacturing and analytical processes and technology. We also rely on our know-how, confidential methodologies and processes and continuing technological innovation as well as our active third-party intellectual property in-licensing program to develop and maintain our proprietary positions, in addition to trademarks, copyrights and trade secret laws, and employee disclosure and invention assignment agreements. Although we take steps to protect our proprietary information and trade secrets, including through contractual means with our employees, advisors and consultants, these agreements may be breached, and we may not have adequate remedies for any breach. In addition, third parties may independently develop substantially equivalent proprietary information and techniques or otherwise gain access to our trade secrets or disclose our technology. As a result,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of by the individual during the course of employment, and which relate to or are reasonably capable or being used in our current or planned business or research and development, are our exclusive property. In addition, we take other appropriate precautions, such as physical and technological security measures, to guard against misappropriation of our proprietary technology by third parties. However, such agreements and policies may be breached, and we may not have adequate remedies for such breaches. For more information regarding the risks related to our intellectual property, see the section titled “Risk Factors—Risks related to intellectual property.”</w:t>
      </w:r>
    </w:p>
    <w:p>
      <w:pPr>
        <w:spacing w:after="0" w:line="73"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color w:val="auto"/>
        </w:rPr>
        <w:t>We have licensed patents and patent applications from various entities, including Emory, Luxna and AM Chemicals, which are further described below. As of December 31, 2021, we own 6 issued U.S. patents, 30 U.S. non-provisional patent applications, 19 U.S. provisional patent applications (excluding any non-expired U.S. provisional applications to which priority has already been claimed), 22 PCT applications and 208 foreign patent applications, including pending applications in Arab Emirates, ARIPO, Argentina, Australia, Brazil, Canada, Chile, China, Colombia, Eurasia, Egypt, European Union, Georgia, Indonesia, Israel, India, Japan, South Korea, Malaysia, Mexico, New Zealand, OAPI, Peru, Philippines, Russian Federation, Singapore, Thailand, Taiwan, Ukraine, Uzbekistan and South Africa. The projected expiration date of any patent that issues from our non-provisional U.S. and foreign applications is between 2039 to 2042, excluding any additional term from a potential patent term extension and/or patent term adjustment.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5" w:name="page36"/>
    <w:bookmarkEnd w:id="35"/>
    <w:p>
      <w:pPr>
        <w:ind w:right="100" w:firstLine="509"/>
        <w:spacing w:after="0" w:line="248" w:lineRule="auto"/>
        <w:rPr>
          <w:sz w:val="20"/>
          <w:szCs w:val="20"/>
          <w:color w:val="auto"/>
        </w:rPr>
      </w:pPr>
      <w:r>
        <w:rPr>
          <w:rFonts w:ascii="Arial" w:cs="Arial" w:eastAsia="Arial" w:hAnsi="Arial"/>
          <w:sz w:val="18"/>
          <w:szCs w:val="18"/>
          <w:color w:val="auto"/>
        </w:rPr>
        <w:t>For our drug candidates, we have filed and licensed certain patent applications and we generally intend to pursue patent protection covering compositions of matter, methods of making, and methods of use. As of December 31, 2021, we own U.S. patents with claims directed to ALG-000184 and ALG-55009.</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Licensed intellectual property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Emory University</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have licensed the exclusive rights to a patent estate from Emory in the CAM chemical space, consisting of one issued U.S. patent, two pending nonprovisional U.S. patent application as well as 5 issued foreign patents and 35 foreign patent applications. The issued U.S. patent has an expected expiration of March 2037, excluding any potential patent term extension or adjustment.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Luxna</w:t>
      </w:r>
    </w:p>
    <w:p>
      <w:pPr>
        <w:spacing w:after="0" w:line="104" w:lineRule="exact"/>
        <w:rPr>
          <w:sz w:val="20"/>
          <w:szCs w:val="20"/>
          <w:color w:val="auto"/>
        </w:rPr>
      </w:pPr>
    </w:p>
    <w:p>
      <w:pPr>
        <w:jc w:val="both"/>
        <w:ind w:right="40" w:firstLine="509"/>
        <w:spacing w:after="0" w:line="284" w:lineRule="auto"/>
        <w:rPr>
          <w:sz w:val="20"/>
          <w:szCs w:val="20"/>
          <w:color w:val="auto"/>
        </w:rPr>
      </w:pPr>
      <w:r>
        <w:rPr>
          <w:rFonts w:ascii="Arial" w:cs="Arial" w:eastAsia="Arial" w:hAnsi="Arial"/>
          <w:sz w:val="16"/>
          <w:szCs w:val="16"/>
          <w:color w:val="auto"/>
        </w:rPr>
        <w:t>We have licensed the right to a patent estate from Luxna in the oligonucleotide chemical space, consisting of 3 issued U.S. patents, 2 nonprovisional U.S. patent applications and 15 issued foreign patents and 4 foreign patent applications. We have exclusive rights to use this technology in the development of drug candidates for CHB, as well as rights to certain named targets in NASH and respiratory diseases, including coronaviruses. These U.S. patents have an expected expiration between October 2030 and February 2035, excluding any potential patent term extension or adjustment.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 Chemicals</w:t>
      </w:r>
    </w:p>
    <w:p>
      <w:pPr>
        <w:spacing w:after="0" w:line="10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have licensed the exclusive right to the use of specific constructs encompassed by the patent estate from AM Chemicals, including 1 issued U.S. patent, 1 U.S. non-provisional patent application and 2 foreign patent applications. The issued U.S. patent has an expected expiration of July 2037. Any patent issuing from such non-provisional applications in this patent estate is projected to expire in July 2037, excluding any potential patent term extension or patent term adjustment.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candidate intellectual property</w:t>
      </w:r>
    </w:p>
    <w:p>
      <w:pPr>
        <w:spacing w:after="0" w:line="104"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Hepatitis B—ALG</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000184 and additional potential drug candidates</w:t>
      </w:r>
    </w:p>
    <w:p>
      <w:pPr>
        <w:spacing w:after="0" w:line="104" w:lineRule="exact"/>
        <w:rPr>
          <w:sz w:val="20"/>
          <w:szCs w:val="20"/>
          <w:color w:val="auto"/>
        </w:rPr>
      </w:pPr>
    </w:p>
    <w:p>
      <w:pPr>
        <w:ind w:right="100" w:firstLine="509"/>
        <w:spacing w:after="0" w:line="210" w:lineRule="exact"/>
        <w:rPr>
          <w:sz w:val="20"/>
          <w:szCs w:val="20"/>
          <w:color w:val="auto"/>
        </w:rPr>
      </w:pPr>
      <w:r>
        <w:rPr>
          <w:rFonts w:ascii="Arial" w:cs="Arial" w:eastAsia="Arial" w:hAnsi="Arial"/>
          <w:sz w:val="16"/>
          <w:szCs w:val="16"/>
          <w:color w:val="auto"/>
        </w:rPr>
        <w:t>We own a patent family that includes 1 issued U.S. patent and 30 applications pending across multiple jurisdictions (including the United States), and have claims directed to composition of matter, including ALG</w:t>
      </w:r>
      <w:r>
        <w:rPr>
          <w:rFonts w:ascii="MS PGothic" w:cs="MS PGothic" w:eastAsia="MS PGothic" w:hAnsi="MS PGothic"/>
          <w:sz w:val="16"/>
          <w:szCs w:val="16"/>
          <w:color w:val="auto"/>
        </w:rPr>
        <w:t>‑</w:t>
      </w:r>
      <w:r>
        <w:rPr>
          <w:rFonts w:ascii="Arial" w:cs="Arial" w:eastAsia="Arial" w:hAnsi="Arial"/>
          <w:sz w:val="16"/>
          <w:szCs w:val="16"/>
          <w:color w:val="auto"/>
        </w:rPr>
        <w:t>000184 (our lead CAM molecule), pharmaceutical composition and method of use claims. This patent family also includes claims directed to combination treatment with our lead molecule with other modes of action drugs and drug candidates directed against CHB. U.S. Patent 11,191,747 is projected to expire in April 2040, excluding any potential patent term extension or adjustment.</w:t>
      </w:r>
    </w:p>
    <w:p>
      <w:pPr>
        <w:spacing w:after="0" w:line="81"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Hepatitis B—ALG</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020572 and additional potential drug candidates</w:t>
      </w:r>
    </w:p>
    <w:p>
      <w:pPr>
        <w:spacing w:after="0" w:line="104" w:lineRule="exact"/>
        <w:rPr>
          <w:sz w:val="20"/>
          <w:szCs w:val="20"/>
          <w:color w:val="auto"/>
        </w:rPr>
      </w:pPr>
    </w:p>
    <w:p>
      <w:pPr>
        <w:ind w:right="60" w:firstLine="509"/>
        <w:spacing w:after="0" w:line="209" w:lineRule="exact"/>
        <w:rPr>
          <w:sz w:val="20"/>
          <w:szCs w:val="20"/>
          <w:color w:val="auto"/>
        </w:rPr>
      </w:pPr>
      <w:r>
        <w:rPr>
          <w:rFonts w:ascii="Arial" w:cs="Arial" w:eastAsia="Arial" w:hAnsi="Arial"/>
          <w:sz w:val="18"/>
          <w:szCs w:val="18"/>
          <w:color w:val="auto"/>
        </w:rPr>
        <w:t>We own a patent family that includes 30 patent applications pending across multiple jurisdictions (including the United States), and have claims to compositions of matter, including ALG</w:t>
      </w:r>
      <w:r>
        <w:rPr>
          <w:rFonts w:ascii="MS PGothic" w:cs="MS PGothic" w:eastAsia="MS PGothic" w:hAnsi="MS PGothic"/>
          <w:sz w:val="18"/>
          <w:szCs w:val="18"/>
          <w:color w:val="auto"/>
        </w:rPr>
        <w:t>‑</w:t>
      </w:r>
      <w:r>
        <w:rPr>
          <w:rFonts w:ascii="Arial" w:cs="Arial" w:eastAsia="Arial" w:hAnsi="Arial"/>
          <w:sz w:val="18"/>
          <w:szCs w:val="18"/>
          <w:color w:val="auto"/>
        </w:rPr>
        <w:t>020572, our lead ASO candidate, and methods of use. This patent family also discloses combination therapies with our lead molecule. Any patent that issues from such non-provisional applications in this patent family is projected to expire in May 2040, excluding any potential patent term extension or patent term adjustment.</w:t>
      </w:r>
    </w:p>
    <w:p>
      <w:pPr>
        <w:spacing w:after="0" w:line="83"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Hepatitis B—ALG</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125755 and additional potential drug candidates</w:t>
      </w:r>
    </w:p>
    <w:p>
      <w:pPr>
        <w:spacing w:after="0" w:line="104" w:lineRule="exact"/>
        <w:rPr>
          <w:sz w:val="20"/>
          <w:szCs w:val="20"/>
          <w:color w:val="auto"/>
        </w:rPr>
      </w:pPr>
    </w:p>
    <w:p>
      <w:pPr>
        <w:ind w:right="20" w:firstLine="509"/>
        <w:spacing w:after="0" w:line="209" w:lineRule="exact"/>
        <w:rPr>
          <w:sz w:val="20"/>
          <w:szCs w:val="20"/>
          <w:color w:val="auto"/>
        </w:rPr>
      </w:pPr>
      <w:r>
        <w:rPr>
          <w:rFonts w:ascii="Arial" w:cs="Arial" w:eastAsia="Arial" w:hAnsi="Arial"/>
          <w:sz w:val="18"/>
          <w:szCs w:val="18"/>
          <w:color w:val="auto"/>
        </w:rPr>
        <w:t>We own a patent family that includes 3 patent applications pending across multiple jurisdictions (including the United States), and have claims to compositions of matter, including ALG</w:t>
      </w:r>
      <w:r>
        <w:rPr>
          <w:rFonts w:ascii="MS PGothic" w:cs="MS PGothic" w:eastAsia="MS PGothic" w:hAnsi="MS PGothic"/>
          <w:sz w:val="18"/>
          <w:szCs w:val="18"/>
          <w:color w:val="auto"/>
        </w:rPr>
        <w:t>‑</w:t>
      </w:r>
      <w:r>
        <w:rPr>
          <w:rFonts w:ascii="Arial" w:cs="Arial" w:eastAsia="Arial" w:hAnsi="Arial"/>
          <w:sz w:val="18"/>
          <w:szCs w:val="18"/>
          <w:color w:val="auto"/>
        </w:rPr>
        <w:t>125755, our lead siRNA candidate, and methods of use. This patent family will also disclose combination therapies with our lead molecule. Any patent that issues from such non-provisional applications in this patent family is projected to expire in March 2041, excluding additional term from a potential patent term extension and/or patent term adjustment.</w:t>
      </w:r>
    </w:p>
    <w:p>
      <w:pPr>
        <w:spacing w:after="0" w:line="83"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NASH—ALG</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055009 and additional potential drug candidates</w:t>
      </w:r>
    </w:p>
    <w:p>
      <w:pPr>
        <w:spacing w:after="0" w:line="104" w:lineRule="exact"/>
        <w:rPr>
          <w:sz w:val="20"/>
          <w:szCs w:val="20"/>
          <w:color w:val="auto"/>
        </w:rPr>
      </w:pPr>
    </w:p>
    <w:p>
      <w:pPr>
        <w:jc w:val="both"/>
        <w:ind w:right="380" w:firstLine="509"/>
        <w:spacing w:after="0" w:line="209" w:lineRule="exact"/>
        <w:rPr>
          <w:sz w:val="20"/>
          <w:szCs w:val="20"/>
          <w:color w:val="auto"/>
        </w:rPr>
      </w:pPr>
      <w:r>
        <w:rPr>
          <w:rFonts w:ascii="Arial" w:cs="Arial" w:eastAsia="Arial" w:hAnsi="Arial"/>
          <w:sz w:val="18"/>
          <w:szCs w:val="18"/>
          <w:color w:val="auto"/>
        </w:rPr>
        <w:t>We own a patent family that includes 1 issued U.S. patent and 30 applications across multiple jurisdictions, and have claims to compositions of matter, including ALG</w:t>
      </w:r>
      <w:r>
        <w:rPr>
          <w:rFonts w:ascii="MS PGothic" w:cs="MS PGothic" w:eastAsia="MS PGothic" w:hAnsi="MS PGothic"/>
          <w:sz w:val="18"/>
          <w:szCs w:val="18"/>
          <w:color w:val="auto"/>
        </w:rPr>
        <w:t>‑</w:t>
      </w:r>
      <w:r>
        <w:rPr>
          <w:rFonts w:ascii="Arial" w:cs="Arial" w:eastAsia="Arial" w:hAnsi="Arial"/>
          <w:sz w:val="18"/>
          <w:szCs w:val="18"/>
          <w:color w:val="auto"/>
        </w:rPr>
        <w:t>055009, our lead drug candidate for the treatment of NASH, and methods of use. This patent family also discloses combination therapies with our lead molecule. US 11091467 is our issued US patent, and it is projected to expire in May 2040, excluding any potential patent term extension or patent term adjustment.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Discovery pipeline intellectual property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Hepatitis B</w:t>
      </w:r>
    </w:p>
    <w:p>
      <w:pPr>
        <w:spacing w:after="0" w:line="104" w:lineRule="exact"/>
        <w:rPr>
          <w:sz w:val="20"/>
          <w:szCs w:val="20"/>
          <w:color w:val="auto"/>
        </w:rPr>
      </w:pPr>
    </w:p>
    <w:p>
      <w:pPr>
        <w:ind w:right="160" w:firstLine="509"/>
        <w:spacing w:after="0" w:line="276" w:lineRule="auto"/>
        <w:rPr>
          <w:sz w:val="20"/>
          <w:szCs w:val="20"/>
          <w:color w:val="auto"/>
        </w:rPr>
      </w:pPr>
      <w:r>
        <w:rPr>
          <w:rFonts w:ascii="Arial" w:cs="Arial" w:eastAsia="Arial" w:hAnsi="Arial"/>
          <w:sz w:val="16"/>
          <w:szCs w:val="16"/>
          <w:color w:val="auto"/>
        </w:rPr>
        <w:t>We own multiple families of applications that include claims to compositions of matter, pharmaceutical compositions and methods of use for the treatment of CHB with our additional drug candidates. This includes 2 U.S. patents, 8 U.S. non-provisional patent applications, 7 U.S. provisional patent applications, 6 PCT patent applications and 32 foreign patent applications in the small molecule space and 6 U.S. non-provisional patent applications, 6 PCT patent applications and 6 foreign patent applications in the oligonucleotide space. These patent families also disclose combination therapies with our drug candidates and other compounds for treating CHB. Any patent that issues from a non-provisional application in one of these patent families is projected to expire in 2040 to 2042, excluding any potential patent term extension or patent term adjustment.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NASH</w:t>
      </w:r>
    </w:p>
    <w:p>
      <w:pPr>
        <w:spacing w:after="0" w:line="104" w:lineRule="exact"/>
        <w:rPr>
          <w:sz w:val="20"/>
          <w:szCs w:val="20"/>
          <w:color w:val="auto"/>
        </w:rPr>
      </w:pPr>
    </w:p>
    <w:p>
      <w:pPr>
        <w:ind w:right="40" w:firstLine="749"/>
        <w:spacing w:after="0" w:line="241" w:lineRule="auto"/>
        <w:rPr>
          <w:sz w:val="20"/>
          <w:szCs w:val="20"/>
          <w:color w:val="auto"/>
        </w:rPr>
      </w:pPr>
      <w:r>
        <w:rPr>
          <w:rFonts w:ascii="Arial" w:cs="Arial" w:eastAsia="Arial" w:hAnsi="Arial"/>
          <w:sz w:val="18"/>
          <w:szCs w:val="18"/>
          <w:color w:val="auto"/>
        </w:rPr>
        <w:t>We have filed 4 U.S. non-provisional patent application, 5 PCT patent applications, 1 U.S. provisional application and 3 foreign patent applications that include claims to compositions of matter and methods of use with our additional drug candidates for the treatment of NASH. These U.S. provisional applications also disclose combination therapies with our drug candidates and other compounds for treating NASH. Any patent that issues from a non-provisional application claiming in one of these patent families is projected to expire in 2042, excluding any potential patent term extension or patent term adjustment.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Coronaviruses</w:t>
      </w:r>
    </w:p>
    <w:p>
      <w:pPr>
        <w:spacing w:after="0" w:line="10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have filed 3 U.S. nonprovisional patent applications, 9 U.S. provisional patent applications. 3 PCT patent applications and 2 foreign applications that include claims to compositions of matter, pharmaceutical compositions and methods of use for treating coronaviruses. This includes multiple applications covering both small molecule and oligonucleotide approaches. Some of these applications are co-owned by Aligos and a collaborator. These patent families also include disclosure relating to combination therapy strategies for treating coronaviruses. Any patent that issues from a non-provisional patent application in one of these patent families is projected to expire in 2041 to 2042, excluding any potential patent term extension or patent term adjustment.</w:t>
      </w:r>
    </w:p>
    <w:p>
      <w:pPr>
        <w:spacing w:after="0" w:line="81"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With respect to both our licensed and our owned intellectual property, we cannot be sure that patents will be granted with respect to any of our pending patent applications or with respect to any patent applications filed by us in the future, nor can we be sure that any current patents or any patents that may be granted to us in the future will be commercially useful in protecting our platforms and drug candidates and the methods used to manufacture them. Moreover, the time required for development, testing and regulatory review of our candidate drug candidates may shorten the length of effective patent protection following commercialization. If we do obtain any patents for our drug candidates, the term of such patents depends upon the legal term of the patents in the countries in which they are obtained. In most countries in which we file, the patent term is 20 years from the earliest date of filing of a non-provisional patent application. In the United States, the patent term of a patent that covers an FDA approved drug or biologic may also be eligible for patent term extension, which permits patent term restoration as compensation for the patent term lost during FDA regulatory review process. The Hatch-Waxman Act permits a patent term extension of up to five years beyond the expiration of the patent. The length of the patent term extension is related to the length of time that the drug or biologic is under regulatory review. Patent term extension cannot extend the remaining term of a patent beyond a total of 14 years from the date of product approval and only one patent applicable to an approved drug or biologic may be extended. Similar provisions are available in the EU and other foreign jurisdictions to extend the term of a patent that covers an approved drug or biologic. In the future, if our drug candidates receive FDA approval and if our patent applications relating to such drug candidates issue as patents, we expect to apply for patent term extensions where applicable on patents covering those drugs. We plan to seek patent term extensions to any of our future issued patents in any jurisdiction where these are available, however there is no guarantee that the applicable authorities, including FDA in the United States, will agree with our assessment of whether these extensions should be granted, and if granted, the length of these extensions. For this and other risks related to our proprietary technology, inventions, improvements, platforms and product candidates, see the section titled “Risk Factors—Risks related to intellectual property.”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104" w:lineRule="exact"/>
        <w:rPr>
          <w:sz w:val="20"/>
          <w:szCs w:val="20"/>
          <w:color w:val="auto"/>
        </w:rPr>
      </w:pPr>
    </w:p>
    <w:p>
      <w:pPr>
        <w:ind w:right="320" w:firstLine="509"/>
        <w:spacing w:after="0" w:line="248" w:lineRule="auto"/>
        <w:rPr>
          <w:sz w:val="20"/>
          <w:szCs w:val="20"/>
          <w:color w:val="auto"/>
        </w:rPr>
      </w:pPr>
      <w:r>
        <w:rPr>
          <w:rFonts w:ascii="Arial" w:cs="Arial" w:eastAsia="Arial" w:hAnsi="Arial"/>
          <w:sz w:val="18"/>
          <w:szCs w:val="18"/>
          <w:color w:val="auto"/>
        </w:rPr>
        <w:t>Our trademark portfolio contains several trademark applications and registrations, including U.S. and foreign, as of December 31, 2021. The trademark portfolio includes the mark ALIGOS which is registered in the United States, Australia, the European Union, Great Britain and Japan, and is pending in China.</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104"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auto"/>
        </w:rPr>
        <w:t>The FDA and other regulatory authorities at the federal, state, and local level, as well as in foreign countries, extensively regulate, among other things, the research, development, testing, manufacture, storage, recordkeeping, approval, labeling, marketing and promotion, distribution, post-approval monitoring and reporting, sampling, and import and export of pharmaceutical products, such as those we are developing. The process of obtaining regulatory approvals and the subsequent compliance with appropriate federal, state, local and foreign statutes and regulations require the expenditure of substantial time and financial resources.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regulation</w:t>
      </w:r>
    </w:p>
    <w:p>
      <w:pPr>
        <w:spacing w:after="0" w:line="104"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In the United States, the FDA regulates drugs under the Federal Food, Drug, and Cosmetic Act (the FDCA), and its implementing regulations. FDA approval is required before any new unapproved drug can be marketed in the United States. Drugs are also subject to other federal, state and local statutes and regulations. Failure to comply with applicable FDA or other requirements may subject a company to a variety of administrative or judicial sanctions, such as FDA clinical holds, refusal to approve pending applications, withdrawal of an approval, warning or untitled letters, product recalls, product seizures, total or partial suspension of production or distribution, injunctions, fines, civil penalties and criminal prosecution.</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process required by the FDA before drug candidates may be marketed in the United States generally involves the following:</w:t>
      </w:r>
    </w:p>
    <w:p>
      <w:pPr>
        <w:spacing w:after="0" w:line="104" w:lineRule="exact"/>
        <w:rPr>
          <w:sz w:val="20"/>
          <w:szCs w:val="20"/>
          <w:color w:val="auto"/>
        </w:rPr>
      </w:pPr>
    </w:p>
    <w:p>
      <w:pPr>
        <w:ind w:left="1020" w:right="22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where all supporting safety and toxicity studies are performed in accordance with the FDA’s Good Laboratory Practice (GLP) regulations;</w:t>
      </w:r>
    </w:p>
    <w:p>
      <w:pPr>
        <w:spacing w:after="0" w:line="62"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which must become effective before human clinical trials may begin and must be updated annually or when significant changes are made;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representing each clinical site before a clinical trial may be initiated;</w:t>
      </w:r>
    </w:p>
    <w:p>
      <w:pPr>
        <w:spacing w:after="0" w:line="103"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(GCP) regulations to establish the safety and efficacy of the product candidate for each proposed indication;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preparation of and submission to the FDA of a new drug application (NDA);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application for review;</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03" w:lineRule="exact"/>
        <w:rPr>
          <w:rFonts w:ascii="Arial" w:cs="Arial" w:eastAsia="Arial" w:hAnsi="Arial"/>
          <w:sz w:val="18"/>
          <w:szCs w:val="18"/>
          <w:color w:val="auto"/>
        </w:rPr>
      </w:pPr>
    </w:p>
    <w:p>
      <w:pPr>
        <w:ind w:left="1020" w:right="220" w:hanging="503"/>
        <w:spacing w:after="0" w:line="24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facility(ies) where the product is manufactured to assess compliance with current good manufacturing practice (cGMP) regulations, and of selected clinical investigation sites to assess compliance with GCP; and</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FDA review and approval of an NDA to permit commercial marketing of the product for its particular labeled uses in the United States.</w:t>
      </w:r>
    </w:p>
    <w:p>
      <w:pPr>
        <w:spacing w:after="0" w:line="11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b w:val="1"/>
          <w:bCs w:val="1"/>
          <w:i w:val="1"/>
          <w:iCs w:val="1"/>
          <w:color w:val="auto"/>
        </w:rPr>
        <w:t>Nonclinical and clinical studies</w:t>
      </w:r>
    </w:p>
    <w:p>
      <w:pPr>
        <w:spacing w:after="0" w:line="10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nonclinical and clinical testing process can take many years and the actual time required to obtain approval, if any, may vary substantially based upon the type, complexity and novelty of the drug or condition being treated.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8" w:name="page39"/>
    <w:bookmarkEnd w:id="38"/>
    <w:p>
      <w:pPr>
        <w:ind w:right="40" w:firstLine="509"/>
        <w:spacing w:after="0" w:line="279" w:lineRule="auto"/>
        <w:rPr>
          <w:sz w:val="20"/>
          <w:szCs w:val="20"/>
          <w:color w:val="auto"/>
        </w:rPr>
      </w:pPr>
      <w:r>
        <w:rPr>
          <w:rFonts w:ascii="Arial" w:cs="Arial" w:eastAsia="Arial" w:hAnsi="Arial"/>
          <w:sz w:val="16"/>
          <w:szCs w:val="16"/>
          <w:color w:val="auto"/>
        </w:rPr>
        <w:t>Nonclinical tests include laboratory (in vitro) evaluation of drug chemistry, formulation and toxicity, as well as animal (in vivo) studies to assess the characteristics and potential safety and efficacy of the drug candidate. The conduct of nonclinical studies that provide safety and toxicological information must comply with federal regulations and requirements, including GLPs. The results of nonclinical studies are submitted to the FDA as part of an IND along with other information, including information about drug CMC and any available human data or literature to support use of the drug in humans. Long-term nonclinical tests, such as animal tests of reproductive toxicity and carcinogenicity, may continue after the IND is submitted.</w:t>
      </w:r>
    </w:p>
    <w:p>
      <w:pPr>
        <w:spacing w:after="0" w:line="15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central focus of an IND submission is on the general investigational plan and the protocol(s) for human studies. An IND must become effective before human clinical trials may begin. An IND will automatically become effective 30 days after receipt by the FDA unless, before that time, the FDA raises concerns or questions related to the proposed clinical trials. In such a case, the IND may be placed on clinical hold and the IND sponsor and the FDA must resolve any outstanding concerns or questions before clinical trials can begin.</w:t>
      </w:r>
    </w:p>
    <w:p>
      <w:pPr>
        <w:spacing w:after="0" w:line="188" w:lineRule="exact"/>
        <w:rPr>
          <w:sz w:val="20"/>
          <w:szCs w:val="20"/>
          <w:color w:val="auto"/>
        </w:rPr>
      </w:pPr>
    </w:p>
    <w:p>
      <w:pPr>
        <w:ind w:right="160" w:firstLine="509"/>
        <w:spacing w:after="0" w:line="284" w:lineRule="auto"/>
        <w:rPr>
          <w:sz w:val="20"/>
          <w:szCs w:val="20"/>
          <w:color w:val="auto"/>
        </w:rPr>
      </w:pPr>
      <w:r>
        <w:rPr>
          <w:rFonts w:ascii="Arial" w:cs="Arial" w:eastAsia="Arial" w:hAnsi="Arial"/>
          <w:sz w:val="16"/>
          <w:szCs w:val="16"/>
          <w:color w:val="auto"/>
        </w:rPr>
        <w:t>For each successive clinical trial conducted with the investigational drug, a separate, new protocol submission to an existing IND must be made, along with any subsequent changes to the investigational plan. Sponsors are also subject to ongoing reporting requirements, including submission of IND safety reports for any serious adverse experiences associated with use of the investigational drug or findings from nonclinical studies suggesting a significant risk for human subjects, as well as IND annual reports on the progress of the investigations conducted under the IND.</w:t>
      </w:r>
    </w:p>
    <w:p>
      <w:pPr>
        <w:spacing w:after="0" w:line="155"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Clinical trials involve the administration of the investigational drug to human subjects under the supervision of qualified investigators in accordance with GCPs, which include the requirement that all research subjects provide their informed consent for participation in each clinical trial. Clinical trials are conducted under protocols detailing, among other things, the objectives of the trial, the parameters to be used in monitoring safety and the efficacy criteria to be evaluated. A protocol for each clinical trial and any subsequent protocol amendments must be submitted to the FDA as part of the IND. Additionally, approval must also be obtained from each clinical trial site’s IRB before a trial may be initiated at the site, and the IRB must monitor the trial until completed. Sponsors of clinical trials generally must register and report ongoing clinical trials and clinical trial results to public registries, including the website maintained by the U.S. National Institutes of Health, ClinicalTrials.gov.</w:t>
      </w:r>
    </w:p>
    <w:p>
      <w:pPr>
        <w:spacing w:after="0" w:line="180"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For purposes of NDA approval, human clinical trials are typically divided into three or four phases. Although the phases are usually conducted sequentially, they may overlap or be combined.</w:t>
      </w:r>
    </w:p>
    <w:p>
      <w:pPr>
        <w:spacing w:after="0" w:line="59" w:lineRule="exact"/>
        <w:rPr>
          <w:sz w:val="20"/>
          <w:szCs w:val="20"/>
          <w:color w:val="auto"/>
        </w:rPr>
      </w:pPr>
    </w:p>
    <w:p>
      <w:pPr>
        <w:ind w:left="1020" w:right="60" w:hanging="503"/>
        <w:spacing w:after="0" w:line="250"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Phase 1</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drug is initially introduced into healthy human subjects or into patients with the target disease or condition. These studies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designed to evaluate the safety, dosage tolerance, metabolism and pharmacologic actions of the drug in humans, the side effects associated with increasing doses, and if possible, to gain early evidence of effectiveness.</w:t>
      </w:r>
    </w:p>
    <w:p>
      <w:pPr>
        <w:spacing w:after="0" w:line="68" w:lineRule="exact"/>
        <w:rPr>
          <w:rFonts w:ascii="Arial" w:cs="Arial" w:eastAsia="Arial" w:hAnsi="Arial"/>
          <w:sz w:val="18"/>
          <w:szCs w:val="18"/>
          <w:color w:val="auto"/>
        </w:rPr>
      </w:pPr>
    </w:p>
    <w:p>
      <w:pPr>
        <w:ind w:left="1020" w:right="360" w:hanging="503"/>
        <w:spacing w:after="0" w:line="250"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Phase 2</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drug is administered to a limited patient population to evaluate tolerance and optimal dose, identify possible adverse side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effects and safety risks, and preliminarily evaluate efficacy. Multiple Phase 2 trials may be conducted to obtain additional data prior to beginning Phase 3 trials.</w:t>
      </w:r>
    </w:p>
    <w:p>
      <w:pPr>
        <w:spacing w:after="0" w:line="68" w:lineRule="exact"/>
        <w:rPr>
          <w:rFonts w:ascii="Arial" w:cs="Arial" w:eastAsia="Arial" w:hAnsi="Arial"/>
          <w:sz w:val="18"/>
          <w:szCs w:val="18"/>
          <w:color w:val="auto"/>
        </w:rPr>
      </w:pPr>
    </w:p>
    <w:p>
      <w:pPr>
        <w:ind w:left="1020" w:right="220" w:hanging="503"/>
        <w:spacing w:after="0" w:line="250"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Phase 3</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drug is administered to an expanded patient population, generally at geographically dispersed clinical trial sites to generate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enough data to statistically evaluate dosage, clinical effectiveness and safety, to establish the overall benefit-risk relationship of the investigational drug and to provide an adequate basis for drug approval.</w:t>
      </w:r>
    </w:p>
    <w:p>
      <w:pPr>
        <w:spacing w:after="0" w:line="68"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Phase 4</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some cases, the FDA may condition approval of an NDA for a drug candidate on the sponsor’s agreement to conduct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clinical trials after approval. In other cases, a sponsor may voluntarily conduct additional clinical trials after approval to gain more information about the drug. Such post-approval trials are typically referred to as Phase 4 clinical trials.</w:t>
      </w:r>
    </w:p>
    <w:p>
      <w:pPr>
        <w:spacing w:after="0" w:line="181" w:lineRule="exact"/>
        <w:rPr>
          <w:sz w:val="20"/>
          <w:szCs w:val="20"/>
          <w:color w:val="auto"/>
        </w:rPr>
      </w:pPr>
    </w:p>
    <w:p>
      <w:pPr>
        <w:jc w:val="both"/>
        <w:ind w:right="140" w:firstLine="509"/>
        <w:spacing w:after="0" w:line="248" w:lineRule="auto"/>
        <w:rPr>
          <w:sz w:val="20"/>
          <w:szCs w:val="20"/>
          <w:color w:val="auto"/>
        </w:rPr>
      </w:pPr>
      <w:r>
        <w:rPr>
          <w:rFonts w:ascii="Arial" w:cs="Arial" w:eastAsia="Arial" w:hAnsi="Arial"/>
          <w:sz w:val="18"/>
          <w:szCs w:val="18"/>
          <w:color w:val="auto"/>
        </w:rPr>
        <w:t>The FDA, the IRB or the clinical trial sponsor may suspend or terminate a clinical trial at any time on various grounds, including a finding that the research subjects are being exposed to an unacceptable health risk. The sponsor may also suspend or terminate a clinical trial based on evolving business objectives and/or competitive climate.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9" w:name="page40"/>
    <w:bookmarkEnd w:id="39"/>
    <w:p>
      <w:pPr>
        <w:ind w:right="120" w:firstLine="509"/>
        <w:spacing w:after="0" w:line="279" w:lineRule="auto"/>
        <w:rPr>
          <w:sz w:val="20"/>
          <w:szCs w:val="20"/>
          <w:color w:val="auto"/>
        </w:rPr>
      </w:pPr>
      <w:r>
        <w:rPr>
          <w:rFonts w:ascii="Arial" w:cs="Arial" w:eastAsia="Arial" w:hAnsi="Arial"/>
          <w:sz w:val="16"/>
          <w:szCs w:val="16"/>
          <w:color w:val="auto"/>
        </w:rPr>
        <w:t>Concurrent with clinical trials, companies may complete additional in vivo studies and develop additional information about the characteristics of the drug candidate. Companies must also finalize a process for manufacturing the drug in commercially applicable quantities in accordance with cGMP requirements. The manufacturing process must be capable of consistently producing quality batches of the drug and, among other things, must use validated methods for testing the drug against specifications to confirm its identity, strength, quality and purity. Additionally, appropriate packaging must be selected and tested, and stability studies must be conducted to demonstrate that the drug does not undergo unacceptable deterioration over its shelf life.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Submission of an NDA to the FDA</w:t>
      </w:r>
    </w:p>
    <w:p>
      <w:pPr>
        <w:spacing w:after="0" w:line="104" w:lineRule="exact"/>
        <w:rPr>
          <w:sz w:val="20"/>
          <w:szCs w:val="20"/>
          <w:color w:val="auto"/>
        </w:rPr>
      </w:pPr>
    </w:p>
    <w:p>
      <w:pPr>
        <w:ind w:right="660" w:firstLine="509"/>
        <w:spacing w:after="0" w:line="294" w:lineRule="auto"/>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the results of product development and testing are submitted to the FDA in the form of an NDA requesting approval to market the drug for one or more indications. The submission of an NDA requires payment of a substantial application user fee to the FDA, unless a waiver or exemption applies.</w:t>
      </w:r>
    </w:p>
    <w:p>
      <w:pPr>
        <w:spacing w:after="0" w:line="14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An NDA must include all relevant data available from pertinent nonclinical studies and clinical trials, including negative or ambiguous results as well as positive findings, together with detailed information relating to the drug’s chemistry, manufacturing, controls and proposed labeling, among other things. Data can come from company-sponsored clinical trials intended to test the safety and effectiveness of the drug for a specific use, or from a number of alternative sources, including studies initiated by investigators. To support marketing approval, the data submitted must be sufficient in quality and quantity to establish the safety and effectiveness of the drug to the satisfaction of the FDA.</w:t>
      </w:r>
    </w:p>
    <w:p>
      <w:pPr>
        <w:spacing w:after="0" w:line="160" w:lineRule="exact"/>
        <w:rPr>
          <w:sz w:val="20"/>
          <w:szCs w:val="20"/>
          <w:color w:val="auto"/>
        </w:rPr>
      </w:pPr>
    </w:p>
    <w:p>
      <w:pPr>
        <w:ind w:right="180" w:firstLine="509"/>
        <w:spacing w:after="0" w:line="225" w:lineRule="auto"/>
        <w:rPr>
          <w:sz w:val="20"/>
          <w:szCs w:val="20"/>
          <w:color w:val="auto"/>
        </w:rPr>
      </w:pPr>
      <w:r>
        <w:rPr>
          <w:rFonts w:ascii="Arial" w:cs="Arial" w:eastAsia="Arial" w:hAnsi="Arial"/>
          <w:sz w:val="18"/>
          <w:szCs w:val="18"/>
          <w:color w:val="auto"/>
        </w:rPr>
        <w:t>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application for filing. In this event, the application must be resubmitted with the additional information and is subject to payment of additional user fees. The resubmitted application is also subject to review before the FDA accepts it for filing. Once the submission is accepted for filing, the FDA begins an in-depth substantive review. Under applicable Prescription Drug User Fee Act (PDUFA) performance goals, the FDA endeavors to review NDAs for drugs containing new molecular entities within ten months of the 60-day filing date under standard review or within six months of the 60-day filing date under priority review.</w:t>
      </w:r>
    </w:p>
    <w:p>
      <w:pPr>
        <w:spacing w:after="0" w:line="181" w:lineRule="exact"/>
        <w:rPr>
          <w:sz w:val="20"/>
          <w:szCs w:val="20"/>
          <w:color w:val="auto"/>
        </w:rPr>
      </w:pPr>
    </w:p>
    <w:p>
      <w:pPr>
        <w:ind w:right="420" w:firstLine="509"/>
        <w:spacing w:after="0" w:line="274" w:lineRule="auto"/>
        <w:rPr>
          <w:sz w:val="20"/>
          <w:szCs w:val="20"/>
          <w:color w:val="auto"/>
        </w:rPr>
      </w:pPr>
      <w:r>
        <w:rPr>
          <w:rFonts w:ascii="Arial" w:cs="Arial" w:eastAsia="Arial" w:hAnsi="Arial"/>
          <w:sz w:val="17"/>
          <w:szCs w:val="17"/>
          <w:color w:val="auto"/>
        </w:rPr>
        <w:t>The FDA may refer applications for novel drug products or drug products which present difficult questions of safety or efficacy to an advisory committee for review, evaluation and recommendation as to whether the application should be approved and under what conditions.</w:t>
      </w:r>
    </w:p>
    <w:p>
      <w:pPr>
        <w:spacing w:after="0" w:line="148" w:lineRule="exact"/>
        <w:rPr>
          <w:sz w:val="20"/>
          <w:szCs w:val="20"/>
          <w:color w:val="auto"/>
        </w:rPr>
      </w:pPr>
    </w:p>
    <w:p>
      <w:pPr>
        <w:ind w:right="280" w:firstLine="509"/>
        <w:spacing w:after="0" w:line="231" w:lineRule="auto"/>
        <w:rPr>
          <w:sz w:val="20"/>
          <w:szCs w:val="20"/>
          <w:color w:val="auto"/>
        </w:rPr>
      </w:pPr>
      <w:r>
        <w:rPr>
          <w:rFonts w:ascii="Arial" w:cs="Arial" w:eastAsia="Arial" w:hAnsi="Arial"/>
          <w:sz w:val="18"/>
          <w:szCs w:val="18"/>
          <w:color w:val="auto"/>
        </w:rPr>
        <w:t>Before approving an NDA, the FDA typically will inspect the facility or facilities where the drug is manufactured. The FDA will not approve an application unless it determines that the manufacturing processes and facilities are in compliance with cGMP requirements and are adequate to assure consistent production of the drug within required specifications. Additionally, the FDA will typically inspect one or more clinical sites to assure that relevant trial data was obtained in compliance with GCP requirements.</w:t>
      </w:r>
    </w:p>
    <w:p>
      <w:pPr>
        <w:spacing w:after="0" w:line="81"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After the FDA evaluates the NDA and conducts inspections of manufacturing facilities, it may issue an approval letter or a complete response letter. A complete response letter indicates that the review cycle of the application is complete, and the application is not ready for approval. A complete response letter generally outlines the deficiencies in the submission and may require substantial additional testing or information in order for the FDA to reconsider the application. Even with submission of this additional information, the FDA may ultimately decide that an application does not satisfy the regulatory criteria for approval. If, or when, the deficiencies have been addressed to the FDA’s satisfaction in a resubmission of the application, the FDA will issue an approval letter. An approval letter authorizes commercial marketing of the drug with specific prescribing information for specific indications.</w:t>
      </w:r>
    </w:p>
    <w:p>
      <w:pPr>
        <w:spacing w:after="0" w:line="53"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As a condition of NDA approval, the FDA may require a Risk Evaluation and Mitigation Strategy (REMS) program to help ensure that the benefits of the drug outweigh its risks. If the FDA determines a REMS program is necessary, the drug sponsor must develop and submit a REMS as part of its NDA prior to approval. A REMS program may be required to include various elements, such as a medication guide or patient package insert, a communication plan to educate healthcare providers of the drug’s risks, or other elements to assure safe use, such as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40" w:name="page41"/>
    <w:bookmarkEnd w:id="40"/>
    <w:p>
      <w:pPr>
        <w:ind w:right="60"/>
        <w:spacing w:after="0" w:line="261" w:lineRule="auto"/>
        <w:rPr>
          <w:sz w:val="20"/>
          <w:szCs w:val="20"/>
          <w:color w:val="auto"/>
        </w:rPr>
      </w:pPr>
      <w:r>
        <w:rPr>
          <w:rFonts w:ascii="Arial" w:cs="Arial" w:eastAsia="Arial" w:hAnsi="Arial"/>
          <w:sz w:val="18"/>
          <w:szCs w:val="18"/>
          <w:color w:val="auto"/>
        </w:rPr>
        <w:t>limitations on who may prescribe or dispense the drug, dispensing only under certain circumstances, special monitoring and the use of patient registries. In addition, all REMS programs must include a timetable to periodically assess the strategy following implementation.</w:t>
      </w:r>
    </w:p>
    <w:p>
      <w:pPr>
        <w:spacing w:after="0" w:line="63" w:lineRule="exact"/>
        <w:rPr>
          <w:sz w:val="20"/>
          <w:szCs w:val="20"/>
          <w:color w:val="auto"/>
        </w:rPr>
      </w:pPr>
    </w:p>
    <w:p>
      <w:pPr>
        <w:ind w:right="280" w:firstLine="509"/>
        <w:spacing w:after="0" w:line="255" w:lineRule="auto"/>
        <w:rPr>
          <w:sz w:val="20"/>
          <w:szCs w:val="20"/>
          <w:color w:val="auto"/>
        </w:rPr>
      </w:pPr>
      <w:r>
        <w:rPr>
          <w:rFonts w:ascii="Arial" w:cs="Arial" w:eastAsia="Arial" w:hAnsi="Arial"/>
          <w:sz w:val="17"/>
          <w:szCs w:val="17"/>
          <w:color w:val="auto"/>
        </w:rPr>
        <w:t>Further, the FDA may require substantial post-approval testing and surveillance as a condition of NDA approval to monitor the drug’s safety and efficacy, and the FDA has the authority to prevent or limit further marketing of a product based on the results of these post-marketing programs. Once granted, product approvals may be withdrawn if compliance with regulatory requirements is not maintained or problems are identified following initial marketing. Moreover, changes to the conditions established in an approved application, including changes in indications, labeling or manufacturing processes or facilities may require submission and FDA approval of a new NDA or NDA supplement before the changes can be implemented. An NDA supplement for a new indication typically requires clinical data similar to that supporting the original approval, and the FDA uses similar procedures in reviewing supplements as it does in reviewing original applications.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04"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The FDA offers a number of expedited development and review programs for qualifying drugs, one or more of which may be available for our current or future drug candidates.</w:t>
      </w:r>
    </w:p>
    <w:p>
      <w:pPr>
        <w:spacing w:after="0" w:line="63"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New drug candidates are eligible for fast track designation if they are intended to treat a serious or life-threatening disease or condition and demonstrate the potential to address unmet medical needs for the disease or condition. Fast track designation applies to the combination of the drug and the specific indication for which it is being studied. The sponsor of a fast track drug candidate has opportunities for frequent interactions with the review team during drug development and, once an NDA is submitted, the drug candidate may be eligible for priority review. A fast track drug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7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 drug candidate intended to treat a serious or life-threatening disease or condition may also be eligible for breakthrough therapy designation to expedite its development and review. A drug candidate can receive breakthrough therapy designation if preliminary clinical evidence indicates that the drug candidate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drug candidate, including involvement of senior managers.</w:t>
      </w:r>
    </w:p>
    <w:p>
      <w:pPr>
        <w:spacing w:after="0" w:line="8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After an NDA is submitted for a drug candidate, including a drug candidate with a fast track designation and/or breakthrough therapy designation, the NDA may be eligible for priority review. An NDA is eligible for priority review if it has the potential to provide a significant improvement in the treatment, diagnosis or prevention of a serious disease or condition compared to marketed products. Depending on whether a drug candidate contains a new molecular entity, priority review designation means the FDA’s goal is to take an action on the marketing application within six to eight months of the 60-day filing date, compared with ten to twelve months under standard review.</w:t>
      </w:r>
    </w:p>
    <w:p>
      <w:pPr>
        <w:spacing w:after="0" w:line="81"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Additionally, drug candidates studied for their safety and effectiveness in treating serious or life-threatening diseases or conditions may receive accelerated approval upon a determination that the drug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trials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drug.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04"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We may pursue orphan drug designation for one or more of our current or future drug candidates, as appropriate, with the potential to obtain orphan drug exclusivity for our products, if approved.</w:t>
      </w:r>
    </w:p>
    <w:p>
      <w:pPr>
        <w:spacing w:after="0" w:line="63"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Under the Orphan Drug Act, the FDA may grant orphan designation to a drug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for this type of disease or condition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75"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If a drug that has orphan drug designation subsequently receives the first FDA approval for the disease for which it has such designation, the drug is entitled to orphan drug exclusive approval (or exclusivity), which means that the FDA may not approve any other applications, including a full NDA, to market the same drug for the same indication for seven years, except in limited circumstances, such as a showing of clinical superiority to the drug with orphan drug exclusivity. Orphan drug exclusivity does not prevent the FDA from approving a different drug for the same disease or condition, or the same drug for a different disease or condition. Among the other benefits of orphan drug designation are tax credits for certain research and a waiver of the application user fee.</w:t>
      </w:r>
    </w:p>
    <w:p>
      <w:pPr>
        <w:spacing w:after="0" w:line="18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drug to meet the needs of patients with the rare disease or condition.</w:t>
      </w:r>
    </w:p>
    <w:p>
      <w:pPr>
        <w:spacing w:after="0" w:line="80"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Under the Pediatric Research Equity Act, certain NDAs and certain supplements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Food and Drug Administration Safety and Innovation Act amended the FDCA to require that a sponsor who is planning to submit an NDA for a drug that includes a new active ingredient, new indication, new dosage form, new dosing regimen or new route of administration submit an initial Pediatric Study Plan (iPSP), within 60 days of an end-of-Phase 2 meeting or, if there is no such meeting, as early as practicable before the initiation of a Phase 3 or Phase 2/3 study. The iPSP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iPSP. A sponsor can submit amendments to an agreed-upon iPSP at any time if changes to the pediatric plan need to be considered based on data collected from nonclinical studies, early phase clinical trials and/or other clinical development programs.</w:t>
      </w:r>
    </w:p>
    <w:p>
      <w:pPr>
        <w:spacing w:after="0" w:line="59" w:lineRule="exact"/>
        <w:rPr>
          <w:sz w:val="20"/>
          <w:szCs w:val="20"/>
          <w:color w:val="auto"/>
        </w:rPr>
      </w:pPr>
    </w:p>
    <w:p>
      <w:pPr>
        <w:ind w:right="280" w:firstLine="509"/>
        <w:spacing w:after="0" w:line="270" w:lineRule="auto"/>
        <w:rPr>
          <w:sz w:val="20"/>
          <w:szCs w:val="20"/>
          <w:color w:val="auto"/>
        </w:rPr>
      </w:pPr>
      <w:r>
        <w:rPr>
          <w:rFonts w:ascii="Arial" w:cs="Arial" w:eastAsia="Arial" w:hAnsi="Arial"/>
          <w:sz w:val="17"/>
          <w:szCs w:val="17"/>
          <w:color w:val="auto"/>
        </w:rPr>
        <w:t>A drug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0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Once an NDA is approved, a drug will be subject to pervasive and continuing regulation by the FDA, including, among other things, requirements relating to drug listing and registration, recordkeeping, periodic reporting, product sampling and distribution, adverse event reporting and advertising, marketing and promotion. Drugs may be marketed only for the approved indications and in accordance with the provisions of the approved labeling. While physicians may prescribe for off-label uses, manufacturers may only promote for the approved indications and in accordance with the provisions of the approved label. However, companies may share truthful and not misleading information that is otherwise consistent with a product’s FDA approved labeling. The FDA and other</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2" w:name="page43"/>
    <w:bookmarkEnd w:id="42"/>
    <w:p>
      <w:pPr>
        <w:ind w:right="240"/>
        <w:spacing w:after="0" w:line="261" w:lineRule="auto"/>
        <w:rPr>
          <w:sz w:val="20"/>
          <w:szCs w:val="20"/>
          <w:color w:val="auto"/>
        </w:rPr>
      </w:pPr>
      <w:r>
        <w:rPr>
          <w:rFonts w:ascii="Arial" w:cs="Arial" w:eastAsia="Arial" w:hAnsi="Arial"/>
          <w:sz w:val="18"/>
          <w:szCs w:val="18"/>
          <w:color w:val="auto"/>
        </w:rPr>
        <w:t>agencies actively enforce the laws and regulations prohibiting the promotion of off-label uses, and a company that is found to have improperly promoted off-label uses may be subject to significant liability.</w:t>
      </w:r>
    </w:p>
    <w:p>
      <w:pPr>
        <w:spacing w:after="0" w:line="171"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After approval, most changes to the approved drug, such as adding new indications or other labeling claims, are subject to prior FDA review and approval. There also are continuing user fee requirements, under which FDA assesses an annual program fee for each drug identified in an approved NDA. In addition, quality-control, drug manufacture, packaging and labeling procedures must continue to conform to cGMPs after approval. Drug manufacturers and certain of their subcontractors are required to register their establishments with the FDA and certain state agencies. Registration with the FDA subjects entities to periodic unannounced and announced inspections by the FDA and these state agencies, during which the agency inspects manufacturing facilities to assess compliance with cGMPs. FDA regulations also require investigation and correction of any deviations from cGMP and impose reporting requirements upon manufacturers and their subcontractors, if applicable. Accordingly, manufacturers must continue to expend time, money and effort in the area of production and quality control to maintain compliance with cGMP and other aspects of regulatory compliance.</w:t>
      </w:r>
    </w:p>
    <w:p>
      <w:pPr>
        <w:spacing w:after="0" w:line="168"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FDA may withdraw approval of a drug if compliance with regulatory requirements is not maintained or if problems occur after the drug reaches the market. Later discovery of previously unknown problems with a drug,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81"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drug, complete withdrawal of the drug from the market or drug recalls;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fines, warning or untitled letters or holds on post-approval clinical studies;</w:t>
      </w:r>
    </w:p>
    <w:p>
      <w:pPr>
        <w:spacing w:after="0" w:line="103"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drug approvals;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drug seizure or detention, or refusal of the FDA to permit the import or export of drugs;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04"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 FDA may also require post-approval studies and clinical trials if the FDA finds that scientific data, including information regarding related drugs, deem it appropriate. The purpose of such studies would be to assess a known serious risk or signals of serious risk related to the drug or to identify an unexpected serious risk when available data indicate the potential for a serious risk. The FDA may also require a labeling change if it becomes aware of new safety information that it believes should be included in the labeling of a drug.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04" w:lineRule="exact"/>
        <w:rPr>
          <w:sz w:val="20"/>
          <w:szCs w:val="20"/>
          <w:color w:val="auto"/>
        </w:rPr>
      </w:pPr>
    </w:p>
    <w:p>
      <w:pPr>
        <w:ind w:right="80" w:firstLine="509"/>
        <w:spacing w:after="0" w:line="271" w:lineRule="auto"/>
        <w:rPr>
          <w:sz w:val="20"/>
          <w:szCs w:val="20"/>
          <w:color w:val="auto"/>
        </w:rPr>
      </w:pPr>
      <w:r>
        <w:rPr>
          <w:rFonts w:ascii="Arial" w:cs="Arial" w:eastAsia="Arial" w:hAnsi="Arial"/>
          <w:sz w:val="16"/>
          <w:szCs w:val="16"/>
          <w:color w:val="auto"/>
        </w:rPr>
        <w:t>In addition to regulations in the United States, we are subject to certain and could become subject to a variety of additional foreign regulations regarding development, approval, commercial sales and distribution of our drugs if we seek to market our drugs (if approved) in other jurisdictions. Whether or not we obtain FDA approval for a drug candidate, we must obtain the necessary approvals by the comparable regulatory authorities of foreign countries before we can commence clinical trials or marketing of the drug in those countries. The approval process varies from country to country and can involve additional drug testing and additional review periods, and the time may be longer or shorter than that required to obtain FDA approval. The requirements governing, among other things, the conduct of clinical trials, drug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If we fail to comply with applicable foreign regulatory requirements, we may be subject to fines, suspension or withdrawal of regulatory approvals, drug recalls, seizure of drugs, operating restrictions and criminal prosecution.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104"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Pharmaceutical companies are subject to additional healthcare regulation and enforcement by the federal government and by authorities in the states and foreign jurisdictions in which they conduct their business. In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3" w:name="page44"/>
    <w:bookmarkEnd w:id="43"/>
    <w:p>
      <w:pPr>
        <w:ind w:right="200"/>
        <w:spacing w:after="0" w:line="279" w:lineRule="auto"/>
        <w:rPr>
          <w:sz w:val="20"/>
          <w:szCs w:val="20"/>
          <w:color w:val="auto"/>
        </w:rPr>
      </w:pPr>
      <w:r>
        <w:rPr>
          <w:rFonts w:ascii="Arial" w:cs="Arial" w:eastAsia="Arial" w:hAnsi="Arial"/>
          <w:sz w:val="16"/>
          <w:szCs w:val="16"/>
          <w:color w:val="auto"/>
        </w:rPr>
        <w:t>United States, such laws include, without limitation, state and federal anti-kickback, fraud and abuse, false claims, price reporting, and transparency laws and regulations regarding drug pricing and payments and other transfers of value made to physicians and other healthcare providers. Violation of any of such laws or any other governmental regulations that apply may result in significant penalties, including, without limitation, administrative civil and criminal penalties, damages, disgorgement fines, additional reporting requirements and oversight obligations, contractual damages, the curtailment or restructuring of operations, exclusion from participation in governmental healthcare programs and imprisonment.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04"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Significant uncertainty exists as to the coverage and reimbursement status of any drug candidates for which we or our collaborators obtain regulatory approval. In the United States and markets in other countries, sales of any drugs for which we or our collaborators receive regulatory approval for commercial sale will depend, in part, on the extent to which third-party payors provide coverage, and establish adequate reimbursement levels for such drug products.</w:t>
      </w:r>
    </w:p>
    <w:p>
      <w:pPr>
        <w:spacing w:after="0" w:line="80"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In the United States, third-party payors include federal and state healthcare programs, government authorities, private managed care providers, private health insurers, and other organizations. Third-party payors are increasingly 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We or our collaborators may need to conduct expensive pharmacoeconomic studies in order to demonstrate the medical necessity and cost-effectiveness of our drugs, in addition to the costs required to obtain the FDA approvals. Nonetheless, our drug candidates may not be considered medically necessary or cost-effective. A payor’s decision to provide coverage for a drug product does not imply that an adequate reimbursement rate will be approved. Further, one payor’s determination to provide coverage for a drug product does not assure that other payors will also provide coverage for the drug product.</w:t>
      </w:r>
    </w:p>
    <w:p>
      <w:pPr>
        <w:spacing w:after="0" w:line="60"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Moreover, the process for determining whether a third-party payor will provide coverage for a drug product may be separate from the process for setting the price of a drug product or for establishing the reimbursement rate that such a payor will pay for the drug product. For drugs administered under the supervision of a physician, obtaining coverage and adequate reimbursement may be particularly difficult because of the higher prices often associated with such drugs. Additionally, separate reimbursement for the drug itself or the treatment for which the drug is used may not be available, which may impact physician utilization. Adequate third-party reimbursement may not be available to enable us to maintain price levels sufficient to realize an appropriate return on our investment in drug development.</w:t>
      </w:r>
    </w:p>
    <w:p>
      <w:pPr>
        <w:spacing w:after="0" w:line="81" w:lineRule="exact"/>
        <w:rPr>
          <w:sz w:val="20"/>
          <w:szCs w:val="20"/>
          <w:color w:val="auto"/>
        </w:rPr>
      </w:pPr>
    </w:p>
    <w:p>
      <w:pPr>
        <w:ind w:right="80" w:firstLine="509"/>
        <w:spacing w:after="0" w:line="254" w:lineRule="auto"/>
        <w:rPr>
          <w:sz w:val="20"/>
          <w:szCs w:val="20"/>
          <w:color w:val="auto"/>
        </w:rPr>
      </w:pPr>
      <w:r>
        <w:rPr>
          <w:rFonts w:ascii="Arial" w:cs="Arial" w:eastAsia="Arial" w:hAnsi="Arial"/>
          <w:sz w:val="17"/>
          <w:szCs w:val="17"/>
          <w:color w:val="auto"/>
        </w:rPr>
        <w:t>Different pricing and reimbursement schemes exist in other countries. In Europe,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drugs may only be marketed once a reimbursement price has been agreed. To obtain reimbursement or pricing approval, some of these countries may require the completion of clinical trials that compare the cost-effectiveness of a particular drug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drugs. In addition, in some countries, cross-border imports from low-priced markets exert a commercial pressure on pricing within a country.</w:t>
      </w:r>
    </w:p>
    <w:p>
      <w:pPr>
        <w:spacing w:after="0" w:line="73" w:lineRule="exact"/>
        <w:rPr>
          <w:sz w:val="20"/>
          <w:szCs w:val="20"/>
          <w:color w:val="auto"/>
        </w:rPr>
      </w:pPr>
    </w:p>
    <w:p>
      <w:pPr>
        <w:ind w:right="220" w:firstLine="509"/>
        <w:spacing w:after="0" w:line="279" w:lineRule="auto"/>
        <w:rPr>
          <w:sz w:val="20"/>
          <w:szCs w:val="20"/>
          <w:color w:val="auto"/>
        </w:rPr>
      </w:pPr>
      <w:r>
        <w:rPr>
          <w:rFonts w:ascii="Arial" w:cs="Arial" w:eastAsia="Arial" w:hAnsi="Arial"/>
          <w:sz w:val="16"/>
          <w:szCs w:val="16"/>
          <w:color w:val="auto"/>
        </w:rPr>
        <w:t>The marketability of any drug candidates for which we or our collaborators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pharmaceutical pricing. Coverage policies and third-party reimbursement rates may change at any time. Even if favorable coverage and reimbursement status is attained for one or more drug candidates for which we or our collaborators receive regulatory approval, less favorable coverage policies and reimbursement rates may be implemented in the future.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04" w:lineRule="exact"/>
        <w:rPr>
          <w:sz w:val="20"/>
          <w:szCs w:val="20"/>
          <w:color w:val="auto"/>
        </w:rPr>
      </w:pPr>
    </w:p>
    <w:p>
      <w:pPr>
        <w:ind w:right="580" w:firstLine="509"/>
        <w:spacing w:after="0" w:line="261"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other third-party payors have attempted to control costs by limiting coverage and the amount of reimbursement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4" w:name="page45"/>
    <w:bookmarkEnd w:id="44"/>
    <w:p>
      <w:pPr>
        <w:ind w:right="20"/>
        <w:spacing w:after="0" w:line="248" w:lineRule="auto"/>
        <w:rPr>
          <w:sz w:val="20"/>
          <w:szCs w:val="20"/>
          <w:color w:val="auto"/>
        </w:rPr>
      </w:pPr>
      <w:r>
        <w:rPr>
          <w:rFonts w:ascii="Arial" w:cs="Arial" w:eastAsia="Arial" w:hAnsi="Arial"/>
          <w:sz w:val="18"/>
          <w:szCs w:val="18"/>
          <w:color w:val="auto"/>
        </w:rPr>
        <w:t>for particular medical products and services, implementing reductions in Medicare and other healthcare funding and applying new payment methodologies. For example, in March 2010, the Affordable Care Act, or ACA was enacted, which affected existing government healthcare programs and resulted in the development of new programs.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the ACA’s provisions of importance to the pharmaceutical industry, in addition to those otherwise described above, are the following:</w:t>
      </w:r>
    </w:p>
    <w:p>
      <w:pPr>
        <w:spacing w:after="0" w:line="104" w:lineRule="exact"/>
        <w:rPr>
          <w:sz w:val="20"/>
          <w:szCs w:val="20"/>
          <w:color w:val="auto"/>
        </w:rPr>
      </w:pPr>
    </w:p>
    <w:p>
      <w:pPr>
        <w:ind w:left="1020" w:right="380" w:hanging="503"/>
        <w:spacing w:after="0" w:line="291"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specified branded prescription drugs and biologic agents apportioned among these entities according to their market share in some government healthcare programs;</w:t>
      </w:r>
    </w:p>
    <w:p>
      <w:pPr>
        <w:spacing w:after="0" w:line="38" w:lineRule="exact"/>
        <w:rPr>
          <w:rFonts w:ascii="Arial" w:cs="Arial" w:eastAsia="Arial" w:hAnsi="Arial"/>
          <w:sz w:val="17"/>
          <w:szCs w:val="17"/>
          <w:color w:val="auto"/>
        </w:rPr>
      </w:pPr>
    </w:p>
    <w:p>
      <w:pPr>
        <w:ind w:left="1020" w:right="240" w:hanging="503"/>
        <w:spacing w:after="0" w:line="248"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for most branded and generic drugs, respectively, and a cap on the total rebate amount for innovator drugs at 100% of the Average Manufacturer Price (AMP);</w:t>
      </w:r>
    </w:p>
    <w:p>
      <w:pPr>
        <w:spacing w:after="0" w:line="73" w:lineRule="exact"/>
        <w:rPr>
          <w:rFonts w:ascii="Arial" w:cs="Arial" w:eastAsia="Arial" w:hAnsi="Arial"/>
          <w:sz w:val="18"/>
          <w:szCs w:val="18"/>
          <w:color w:val="auto"/>
        </w:rPr>
      </w:pPr>
    </w:p>
    <w:p>
      <w:pPr>
        <w:ind w:left="1020" w:right="220" w:hanging="503"/>
        <w:spacing w:after="0" w:line="248"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73"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ind w:left="1020" w:right="160" w:hanging="503"/>
        <w:spacing w:after="0" w:line="248"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including individuals with income at or below 133% of the federal poverty level, thereby potentially increasing manufacturers’ Medicaid rebate liability;</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 and</w:t>
      </w:r>
    </w:p>
    <w:p>
      <w:pPr>
        <w:spacing w:after="0" w:line="103" w:lineRule="exact"/>
        <w:rPr>
          <w:rFonts w:ascii="Arial" w:cs="Arial" w:eastAsia="Arial" w:hAnsi="Arial"/>
          <w:sz w:val="18"/>
          <w:szCs w:val="18"/>
          <w:color w:val="auto"/>
        </w:rPr>
      </w:pPr>
    </w:p>
    <w:p>
      <w:pPr>
        <w:ind w:left="1020" w:right="64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63"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w:t>
      </w:r>
    </w:p>
    <w:p>
      <w:pPr>
        <w:spacing w:after="0" w:line="66"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Other legislative changes have been proposed and adopted in the United States since the Affordable Care Act was enacted. On August 2, 2011, the Budget Control Act of 2011, among other things, included aggregate reductions to Medicare payments to providers of 2% per fiscal year, which went into effect on April 1, 2013, and will remain in effect through 2030, with the exception of a temporary suspension from May 1, 2020 through March 31, 2022, unless additional Congressional action is taken. In addition,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67" w:lineRule="exact"/>
        <w:rPr>
          <w:sz w:val="20"/>
          <w:szCs w:val="20"/>
          <w:color w:val="auto"/>
        </w:rPr>
      </w:pPr>
    </w:p>
    <w:p>
      <w:pPr>
        <w:ind w:right="200" w:firstLine="509"/>
        <w:spacing w:after="0" w:line="259" w:lineRule="auto"/>
        <w:rPr>
          <w:sz w:val="20"/>
          <w:szCs w:val="20"/>
          <w:color w:val="auto"/>
        </w:rPr>
      </w:pPr>
      <w:r>
        <w:rPr>
          <w:rFonts w:ascii="Arial" w:cs="Arial" w:eastAsia="Arial" w:hAnsi="Arial"/>
          <w:sz w:val="17"/>
          <w:szCs w:val="17"/>
          <w:color w:val="auto"/>
        </w:rPr>
        <w:t>There has also been heightened governmental scrutiny recently over the manner in which pharmaceutical companies set prices for their marketed products, which has resulted in several Congressional inquiries and proposed federal legislation, as well as state efforts, designed to, among other things, bring more transparency to drug pricing, reduce the cost of prescription drugs under Medicare, review the relationship between pricing and manufacturer patient programs, and reform government program reimbursement methodologies for drug products. It is unclear whether the Biden administration will work to reverse these measures or pursue similar policy initiatives to control drug costs.</w:t>
      </w:r>
    </w:p>
    <w:p>
      <w:pPr>
        <w:spacing w:after="0" w:line="66"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We anticipate that these new laws will result in additional downward pressure on coverage and the price that we receive for any approved drug, and could seriously harm our business. Any reduction in reimbursement from</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5" w:name="page46"/>
    <w:bookmarkEnd w:id="45"/>
    <w:p>
      <w:pPr>
        <w:ind w:right="100"/>
        <w:spacing w:after="0" w:line="294" w:lineRule="auto"/>
        <w:rPr>
          <w:sz w:val="20"/>
          <w:szCs w:val="20"/>
          <w:color w:val="auto"/>
        </w:rPr>
      </w:pPr>
      <w:r>
        <w:rPr>
          <w:rFonts w:ascii="Arial" w:cs="Arial" w:eastAsia="Arial" w:hAnsi="Arial"/>
          <w:sz w:val="16"/>
          <w:szCs w:val="16"/>
          <w:color w:val="auto"/>
        </w:rPr>
        <w:t>Medicare and other government programs may result in a similar reduction in payments from private payors. The implementation of cost containment measures or other healthcare reforms may prevent us from being able to generate revenue, attain profitability, or commercialize our drugs (if approved). In addition, it is possible that there will be further legislation or regulation that could harm our business, financial condition, and results of operations.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and security</w:t>
      </w:r>
    </w:p>
    <w:p>
      <w:pPr>
        <w:spacing w:after="0" w:line="104"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We may also be subject to federal, state and foreign data privacy and security laws and regulations. In the United States, numerous federal and state laws and regulations, including state data breach notification laws, state health information privacy laws, and federal and state consumer protection laws and regulations (e.g., Section 5 of the FTC Act), govern the collection, use, disclosure, and protection of health-related and other personal information could apply to our operations or the operations of our partners. The Health Insurance Portability and Accountability Act of 1996 (HIPAA), as amended by the Health Information Technology for Economic and Clinical Health Act (HITECH), and regulations implemented thereunder, impose requirements relating to the privacy, security and transmission of individually identifiable health information on certain health care providers, health plans and health care clearinghouses, known as covered entities, as well as their business associates that perform certain services that involve creating, receiving, maintaining or transmitting individually identifiable health information for or on behalf of such covered entities. Entities that are found to be in violation of HIPAA as the result of a breach of unsecured protected health information, a complaint about privacy practices or an audit by U.S. Department of Health &amp;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 Further, entities that knowingly obtain, use, or disclose individually identifiable health information maintained by a HIPAA covered entity in a manner that is not authorized or permitted by HIPAA may be subject to criminal penalties.</w:t>
      </w:r>
    </w:p>
    <w:p>
      <w:pPr>
        <w:spacing w:after="0" w:line="72"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Even when HIPAA does not apply, according to the FTC, violating consumers’ privacy rights or failing to take appropriate steps to keep consumers’ personal information secure may constitute unfair acts or practices in or affecting commerce in violation of Section 5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81"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In addition, state laws govern the privacy and security of health information in specified circumstances, many of which differ from each other in significant ways and may not have the same effect, thus complicating compliance efforts. By way of example, California recently enacted the California Consumer Privacy Act (CCPA), which went into effect on January 1, 2020, and creates certain individual privacy rights for California consumers (as defined in the law) and places increased privacy and security obligations on entities handling certain personal information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Further, the California Privacy Rights Act (CPRA) recently passed in California, which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privacy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conditions.</w:t>
      </w:r>
    </w:p>
    <w:p>
      <w:pPr>
        <w:spacing w:after="0" w:line="63"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We also are or will become subject to privacy laws in the jurisdictions in which we sell or market our products or run clinical trials. For example, in the EU we are subject to the EU General Data Protection Regulation (GDPR) in relation to our collection, control, processing, and other use of personal data (i.e. data relating to an identifiable living individual). We process personal data in relation to participants in our clinical trials in the European Economic Area (EEA), including the health and medical data of these participants. The GDPR is directly applicable in each EU and EEA Member State, however, it provides that EU and EEA Member States may introduce further conditions, including limitations which could limit our ability to collect, use and share personal data (including health and medical information), or could cause our compliance costs to increase, ultimately having an adverse impact on our business. The GDPR imposes onerous accountability obligations requiring data controllers and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6" w:name="page47"/>
    <w:bookmarkEnd w:id="46"/>
    <w:p>
      <w:pPr>
        <w:ind w:right="40"/>
        <w:spacing w:after="0" w:line="268" w:lineRule="auto"/>
        <w:rPr>
          <w:sz w:val="20"/>
          <w:szCs w:val="20"/>
          <w:color w:val="auto"/>
        </w:rPr>
      </w:pPr>
      <w:r>
        <w:rPr>
          <w:rFonts w:ascii="Arial" w:cs="Arial" w:eastAsia="Arial" w:hAnsi="Arial"/>
          <w:sz w:val="16"/>
          <w:szCs w:val="16"/>
          <w:color w:val="auto"/>
        </w:rPr>
        <w:t>processors to maintain a record of their data processing and implement policies as part of its mandated privacy governance framework. It also requires data controllers to be transparent and disclose to data subjects (in a concise, intelligible and easily accessible form) how their personal information is to be used, imposes limitations on retention of personal data; defines pseudonymized (i.e., key-coded) data; introduces mandatory data breach notification requirements; and sets higher standards for data controllers to demonstrate that they have obtained valid consent for certain data processing activities. We are also subject to EEA rules with respect to cross-border transfers of personal data out of the EEA. Recent legal developments in the EU have created complexity and uncertainty regarding transfers of personal data from the EEA to the United States. On July 16, 2020, the Court of Justice of the European Union (CJEU) invalidated the EU-US Privacy Shield Framework (the Privacy Shield) under which personal data could be transferred from the EEA to US entities who had self-certified under the Privacy Shield scheme and imposed further restrictions on the use of standard contractual clauses (SCCs).The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 new SCCs apply only to the transfer of personal data outside of the EEA and not the UK; the UK’s Information Commissioner’s Office launched a public consultation on its draft revised data transfers mechanisms in August 2021.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operate and the geographical location or segregation of our relevant systems and operations, and could adversely affect our financial results.</w:t>
      </w:r>
    </w:p>
    <w:p>
      <w:pPr>
        <w:spacing w:after="0" w:line="61"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We are subject to the supervision of local data protection authorities in those EU jurisdictions where we are subject to the GDPR, and we maintain an office in Belgium, which has its own set of stringent privacy and data protection laws and regulations. Fines for certain breaches of the GDPR are significant: up to the greater of €20 million or 4% of total global annual turnover. Further, from January 1, 2021, companies have to comply with the GDPR and also the United Kingdom GDPR (UK GDPR), which, together with the amended UK Data Protection Act 2018, retains the GDPR in UK national law. The UK GDPR mirrors the fines under the GDPR, i.e., fines up to the greater of €20 million (£17.5 million) or 4% of global turnover.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or extends that decision. In addition to the foregoing, a breach of the GDPR or other applicable privacy and data protection laws and regulations could result in regulatory investigations, reputational damage, orders to cease / change our use of data, enforcement notices, or potential civil claims including class action type litigation.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08" w:lineRule="exact"/>
        <w:rPr>
          <w:sz w:val="20"/>
          <w:szCs w:val="20"/>
          <w:color w:val="auto"/>
        </w:rPr>
      </w:pPr>
    </w:p>
    <w:p>
      <w:pPr>
        <w:ind w:right="220" w:firstLine="509"/>
        <w:spacing w:after="0" w:line="324" w:lineRule="auto"/>
        <w:rPr>
          <w:sz w:val="20"/>
          <w:szCs w:val="20"/>
          <w:color w:val="auto"/>
        </w:rPr>
      </w:pPr>
      <w:r>
        <w:rPr>
          <w:rFonts w:ascii="Arial" w:cs="Arial" w:eastAsia="Arial" w:hAnsi="Arial"/>
          <w:sz w:val="16"/>
          <w:szCs w:val="16"/>
          <w:color w:val="auto"/>
        </w:rPr>
        <w:t>As of December 31, 2021, we had 93 full-time employees, including 75 employees engaged in research and development. None of our employees are represented by labor unions or covered by collective bargaining agreements. We consider our relationship with our employees to be good.</w:t>
      </w:r>
    </w:p>
    <w:p>
      <w:pPr>
        <w:spacing w:after="0" w:line="16" w:lineRule="exact"/>
        <w:rPr>
          <w:sz w:val="20"/>
          <w:szCs w:val="20"/>
          <w:color w:val="auto"/>
        </w:rPr>
      </w:pPr>
    </w:p>
    <w:p>
      <w:pPr>
        <w:ind w:right="120" w:firstLine="509"/>
        <w:spacing w:after="0" w:line="270"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We were founded in February 2018 as a Delaware corporation. Our principal executive offices are located at One Corporate Dr., 2nd Floor, South San Francisco, California 94080, and our telephone number is (800) 466-6059.</w:t>
      </w:r>
    </w:p>
    <w:p>
      <w:pPr>
        <w:spacing w:after="0" w:line="63" w:lineRule="exact"/>
        <w:rPr>
          <w:sz w:val="20"/>
          <w:szCs w:val="20"/>
          <w:color w:val="auto"/>
        </w:rPr>
      </w:pPr>
    </w:p>
    <w:p>
      <w:pPr>
        <w:jc w:val="both"/>
        <w:ind w:right="80" w:firstLine="509"/>
        <w:spacing w:after="0" w:line="248" w:lineRule="auto"/>
        <w:rPr>
          <w:sz w:val="20"/>
          <w:szCs w:val="20"/>
          <w:color w:val="auto"/>
        </w:rPr>
      </w:pPr>
      <w:r>
        <w:rPr>
          <w:rFonts w:ascii="Arial" w:cs="Arial" w:eastAsia="Arial" w:hAnsi="Arial"/>
          <w:sz w:val="18"/>
          <w:szCs w:val="18"/>
          <w:color w:val="auto"/>
        </w:rPr>
        <w:t>Our website address is www.aligos.com. We make available on or through our website certain reports and amendments to those reports that we file with or furnish to the SEC in accordance with the Securities Exchange Act of 1934, as amended, or the Exchange Act. These include our annual reports on Form 10-K, our quarterly reports 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References to our website address do not constitute incorporation by reference of the information contained on the website, and the information contained on the website is not part of this document or any other document that we file with or furnish to the SEC. The SEC maintains a site on the worldwide web that contains reports, proxy and information statements and other information regarding our filings at www.sec.gov.</w:t>
      </w:r>
    </w:p>
    <w:p>
      <w:pPr>
        <w:spacing w:after="0" w:line="1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36" w:right="4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Annual Report on 10-K, including our consolidated financial statements and the related notes and “Management’s Discussion and Analysis of Financial Condition and Results of Operations,” before deciding whether to invest in our common stock. Many of the following risks and uncertainties are, and will be, exacerbated by the coronavirus pandemic (COVID-19) and any worsening of the global business and economic environment as a result.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 and the market value of our common stock.</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position and need for additional capital</w:t>
      </w:r>
    </w:p>
    <w:p>
      <w:pPr>
        <w:spacing w:after="0" w:line="108" w:lineRule="exact"/>
        <w:rPr>
          <w:sz w:val="20"/>
          <w:szCs w:val="20"/>
          <w:color w:val="auto"/>
        </w:rPr>
      </w:pPr>
    </w:p>
    <w:p>
      <w:pPr>
        <w:jc w:val="both"/>
        <w:ind w:right="100"/>
        <w:spacing w:after="0" w:line="270" w:lineRule="auto"/>
        <w:rPr>
          <w:sz w:val="20"/>
          <w:szCs w:val="20"/>
          <w:color w:val="auto"/>
        </w:rPr>
      </w:pPr>
      <w:r>
        <w:rPr>
          <w:rFonts w:ascii="Arial" w:cs="Arial" w:eastAsia="Arial" w:hAnsi="Arial"/>
          <w:sz w:val="17"/>
          <w:szCs w:val="17"/>
          <w:b w:val="1"/>
          <w:bCs w:val="1"/>
          <w:i w:val="1"/>
          <w:iCs w:val="1"/>
          <w:color w:val="auto"/>
        </w:rPr>
        <w:t>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56"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Biopharmaceutical product development is a highly speculative undertaking and involves a substantial degree of risk. We are a clinical-stage biopharmaceutical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February 2018. In addition, we have limited experience as a company and have not yet demonstrated an ability to successfully overcome many of the risks and uncertainties frequently encountered by companies in new and rapidly evolving fields, particularly in the biopharmaceutical industry.</w:t>
      </w:r>
    </w:p>
    <w:p>
      <w:pPr>
        <w:spacing w:after="0" w:line="51"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Since inception, we have incurred significant net losses. Our net losses were $128.3 million for the year ended December 31, 2021, $108.5 million for the year ended December 31, 2020 and $52.3 million for the year ended December 31, 2019. As of December 31, 2021, we had a total stockholders’ equity of $184.7 million. We have funded our operations to date primarily with proceeds from the sale of common stock, preferred stock and convertible notes.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any clinical trials, including pivotal clinical trials, obtain marketing approvals, manufacture a commercial-scale product or arrange for a third party to do so on our behalf, or conduct sales and marketing activities necessary for successful product commercialization. Our drug candidates will require substantial additional development time and resources before we will be able to apply for or receive regulatory approvals and, if approved, begin generating revenue from product sales. We expect to continue to incur significant expenses and operating losses for the foreseeable future.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 our drug candidates. We do not anticipate generating revenue from product sales for the next several years, if ever. Our ability to generate revenue from product sales depends heavily on our and our current and potential future collaborators’ success in:</w:t>
      </w:r>
    </w:p>
    <w:p>
      <w:pPr>
        <w:spacing w:after="0" w:line="80"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completing clinical and nonclinical development of drug candidates and programs and identifying and developing new drug candidates;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seeking and obtaining marketing approvals for any drug candidates that we develop;</w:t>
      </w:r>
    </w:p>
    <w:p>
      <w:pPr>
        <w:spacing w:after="0" w:line="103"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launching and commercializing drug candidates for which we obtain marketing approval by establishing a sales force, marketing, medical affairs and distribution infrastructure or, alternatively, collaborating with a commercialization partner;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achieving adequate coverage and reimbursement by third-party payors for drug candidates that we develop;</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2" w:right="399" w:bottom="1440" w:gutter="0" w:footer="0" w:header="0"/>
        </w:sectPr>
      </w:pPr>
    </w:p>
    <w:bookmarkStart w:id="49" w:name="page50"/>
    <w:bookmarkEnd w:id="49"/>
    <w:p>
      <w:pPr>
        <w:ind w:left="1020" w:right="40" w:hanging="503"/>
        <w:spacing w:after="0" w:line="324"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relationships with third parties that can provide adequate, in both amount and quality, products and services to support clinical development and the market demand for drug candidates that we develop, if approved;</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market acceptance of drug candidates that we develop as viable treatment options;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technological and market developments;</w:t>
      </w:r>
    </w:p>
    <w:p>
      <w:pPr>
        <w:spacing w:after="0" w:line="103"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in such collaborations;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maintaining, protecting, enforcing and expanding our portfolio of intellectual property rights, including patents, trade secrets and know-how;</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defending against third-party interference, infringement or other intellectual property-related claims, if any;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Even if one or more of the drug candidates that we develop is approved for commercial sale, we anticipate incurring significant costs associated with commercializing any approved drug candidate. Our expenses could increase beyond expectations if we are required by the U.S. Food and Drug Administration (the FDA), the European Medicines Agency (the EMA),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p>
    <w:p>
      <w:pPr>
        <w:spacing w:after="0" w:line="81" w:lineRule="exact"/>
        <w:rPr>
          <w:sz w:val="20"/>
          <w:szCs w:val="20"/>
          <w:color w:val="auto"/>
        </w:rPr>
      </w:pPr>
    </w:p>
    <w:p>
      <w:pPr>
        <w:ind w:right="100"/>
        <w:spacing w:after="0" w:line="324" w:lineRule="auto"/>
        <w:rPr>
          <w:sz w:val="20"/>
          <w:szCs w:val="20"/>
          <w:color w:val="auto"/>
        </w:rPr>
      </w:pPr>
      <w:r>
        <w:rPr>
          <w:rFonts w:ascii="Arial" w:cs="Arial" w:eastAsia="Arial" w:hAnsi="Arial"/>
          <w:sz w:val="16"/>
          <w:szCs w:val="16"/>
          <w:b w:val="1"/>
          <w:bCs w:val="1"/>
          <w:i w:val="1"/>
          <w:iCs w:val="1"/>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16"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Our operations have consumed substantial amounts of cash since our inception. Since our inception, we have invested a significant portion of our efforts and financial resources in research and development activities for our initial nonclinical and clinical drug candidates. Nonclinical studies and clinical trials and additional research and development activities will require substantial funds to complete. As of December 31, 2021, we had cash, cash equivalents and investments of $205.8 million. In October 2020, we issued an aggregate of 3,569,630 shares of our Series B-2 redeemable convertible preferred stock in the second tranche of our Series B convertible preferred stock financing for aggregate proceeds to us of $40.0 million. In addition, we have received net proceeds of $151.4 million from the sale of an aggregate of 11,150,000 shares of our common stock on October 20, 2020 and on November 5, 2020 as part of our IPO, and net proceeds of $77.7 million from the sale of 4,400,000 shares of our common stock on July 6, 2021 as part of a follow-on offering. We expect to continue to spend substantial amounts to continue the nonclinical and clinical development of our current and future programs. If we are able to gain marketing approval for drug candidates that we develop, we will require significant additional amounts of cash in order to launch and commercialize such drug candidates. In addition, other unanticipated costs may arise. Because the design and outcome of our planned and anticipated clinical trials is highly uncertain, we cannot reasonably estimate the actual amounts necessary to successfully complete the development and commercialization of any drug candidate we develop.</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04" w:lineRule="exact"/>
        <w:rPr>
          <w:sz w:val="20"/>
          <w:szCs w:val="20"/>
          <w:color w:val="auto"/>
        </w:rPr>
      </w:pPr>
    </w:p>
    <w:p>
      <w:pPr>
        <w:ind w:left="1020" w:right="8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drug candidates and programs, and of conducting nonclinical studies and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marketing approvals for drug candidates we develop if clinical trials are successful;</w:t>
      </w:r>
    </w:p>
    <w:p>
      <w:pPr>
        <w:spacing w:after="0" w:line="115" w:lineRule="exact"/>
        <w:rPr>
          <w:rFonts w:ascii="Arial" w:cs="Arial" w:eastAsia="Arial" w:hAnsi="Arial"/>
          <w:sz w:val="17"/>
          <w:szCs w:val="17"/>
          <w:color w:val="auto"/>
        </w:rPr>
      </w:pPr>
    </w:p>
    <w:p>
      <w:pPr>
        <w:jc w:val="both"/>
        <w:ind w:left="1020" w:right="400" w:hanging="503"/>
        <w:spacing w:after="0" w:line="248"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73" w:lineRule="exact"/>
        <w:rPr>
          <w:rFonts w:ascii="Arial" w:cs="Arial" w:eastAsia="Arial" w:hAnsi="Arial"/>
          <w:sz w:val="18"/>
          <w:szCs w:val="18"/>
          <w:color w:val="auto"/>
        </w:rPr>
      </w:pPr>
    </w:p>
    <w:p>
      <w:pPr>
        <w:ind w:left="1020" w:right="128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manufacturing our current and future drug candidates for clinical trials in preparation for marketing approval and commercialization;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0" w:name="page51"/>
    <w:bookmarkEnd w:id="50"/>
    <w:p>
      <w:pPr>
        <w:ind w:left="1020" w:right="14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establish and maintain strategic licenses or other arrangements and the financial terms of such agreements including milestone payments to our licensors;</w:t>
      </w:r>
    </w:p>
    <w:p>
      <w:pPr>
        <w:spacing w:after="0" w:line="62"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such litigation;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receipt and amount of sales of, or profit share or royalties on, our future products, if any;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emergence of competing therapies for hepatological indications and viral diseases and other adverse market developments; and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acquisitions or in-licensing of other programs or technologies.</w:t>
      </w:r>
    </w:p>
    <w:p>
      <w:pPr>
        <w:spacing w:after="0" w:line="212"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 Based on our research and development plans, we expect that our existing cash, cash equivalents and investments will enable us to fund our operations for at least 12 months following the date of this report. However, our operating plan may change as a result of many factors currently unknown to us, and we may need to seek additional funds sooner than planned. Moreover, it is particularly difficult to estimate with certainty our future expenses given the dynamic nature of our business, the COVID-19 pandemic and the macro-economic environment generally.</w:t>
      </w:r>
    </w:p>
    <w:p>
      <w:pPr>
        <w:spacing w:after="0" w:line="180"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Our ability to raise additional funds will depend on financial, economic and other factors, many of which are beyond our control. In particular, the COVID-19 pandemic continues to rapidly evolve and has already resulted in a significant disruption of global financial markets. If the disruption persists or deepens,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w:t>
      </w:r>
    </w:p>
    <w:p>
      <w:pPr>
        <w:spacing w:after="0" w:line="81" w:lineRule="exact"/>
        <w:rPr>
          <w:sz w:val="20"/>
          <w:szCs w:val="20"/>
          <w:color w:val="auto"/>
        </w:rPr>
      </w:pPr>
    </w:p>
    <w:p>
      <w:pPr>
        <w:ind w:left="1020" w:right="26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 limit, reduce or terminate nonclinical studies, clinical trials or other research and development activities or eliminate one or more of our development programs altogether; or</w:t>
      </w:r>
    </w:p>
    <w:p>
      <w:pPr>
        <w:spacing w:after="0" w:line="62" w:lineRule="exact"/>
        <w:rPr>
          <w:rFonts w:ascii="Arial" w:cs="Arial" w:eastAsia="Arial" w:hAnsi="Arial"/>
          <w:sz w:val="18"/>
          <w:szCs w:val="18"/>
          <w:color w:val="auto"/>
        </w:rPr>
      </w:pPr>
    </w:p>
    <w:p>
      <w:pPr>
        <w:jc w:val="both"/>
        <w:ind w:left="1020" w:right="340" w:hanging="503"/>
        <w:spacing w:after="0" w:line="248"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w:t>
      </w:r>
    </w:p>
    <w:p>
      <w:pPr>
        <w:spacing w:after="0" w:line="7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auto"/>
        </w:rPr>
        <w:t>Our operating results may fluctuate significantly, which will make our future results difficult to predict and could cause our results to fall below expectations.</w:t>
      </w:r>
    </w:p>
    <w:p>
      <w:pPr>
        <w:spacing w:after="0" w:line="63" w:lineRule="exact"/>
        <w:rPr>
          <w:sz w:val="20"/>
          <w:szCs w:val="20"/>
          <w:color w:val="auto"/>
        </w:rPr>
      </w:pPr>
    </w:p>
    <w:p>
      <w:pPr>
        <w:ind w:right="680" w:firstLine="509"/>
        <w:spacing w:after="0" w:line="291" w:lineRule="auto"/>
        <w:rPr>
          <w:sz w:val="20"/>
          <w:szCs w:val="20"/>
          <w:color w:val="auto"/>
        </w:rPr>
      </w:pPr>
      <w:r>
        <w:rPr>
          <w:rFonts w:ascii="Arial" w:cs="Arial" w:eastAsia="Arial" w:hAnsi="Arial"/>
          <w:sz w:val="17"/>
          <w:szCs w:val="17"/>
          <w:color w:val="auto"/>
        </w:rPr>
        <w:t>Our quarterly and annual operating results may fluctuate significantly, which will make it difficult for us to predict our future results. These fluctuations may occur due to a variety of factors, many of which are outside of our control and may be difficult to predict, including:</w:t>
      </w:r>
    </w:p>
    <w:p>
      <w:pPr>
        <w:spacing w:after="0" w:line="39" w:lineRule="exact"/>
        <w:rPr>
          <w:sz w:val="20"/>
          <w:szCs w:val="20"/>
          <w:color w:val="auto"/>
        </w:rPr>
      </w:pPr>
    </w:p>
    <w:p>
      <w:pPr>
        <w:ind w:left="1020" w:right="22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and commercialization activities, which may change from time to time;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status of enrollment for our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regulatory approvals, if any, in the United States and internationally;</w:t>
      </w:r>
    </w:p>
    <w:p>
      <w:pPr>
        <w:spacing w:after="0" w:line="103" w:lineRule="exact"/>
        <w:rPr>
          <w:rFonts w:ascii="Arial" w:cs="Arial" w:eastAsia="Arial" w:hAnsi="Arial"/>
          <w:sz w:val="18"/>
          <w:szCs w:val="18"/>
          <w:color w:val="auto"/>
        </w:rPr>
      </w:pPr>
    </w:p>
    <w:p>
      <w:pPr>
        <w:ind w:left="1020" w:right="560" w:hanging="503"/>
        <w:spacing w:after="0" w:line="291"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timing of expanding our operational, financial and management systems and personnel, including personnel to support our clinical development, quality control, manufacturing and commercialization efforts and our operations as a public company;</w:t>
      </w:r>
    </w:p>
    <w:p>
      <w:pPr>
        <w:spacing w:after="0" w:line="38" w:lineRule="exact"/>
        <w:rPr>
          <w:rFonts w:ascii="Arial" w:cs="Arial" w:eastAsia="Arial" w:hAnsi="Arial"/>
          <w:sz w:val="17"/>
          <w:szCs w:val="17"/>
          <w:color w:val="auto"/>
        </w:rPr>
      </w:pPr>
    </w:p>
    <w:p>
      <w:pPr>
        <w:ind w:left="1020" w:right="28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manufacturing, as well as building out our supply chain, which may vary depending on the quantity produced, and the terms of any agreements we enter into with third-party suppliers;</w:t>
      </w:r>
    </w:p>
    <w:p>
      <w:pPr>
        <w:spacing w:after="0" w:line="62" w:lineRule="exact"/>
        <w:rPr>
          <w:rFonts w:ascii="Arial" w:cs="Arial" w:eastAsia="Arial" w:hAnsi="Arial"/>
          <w:sz w:val="18"/>
          <w:szCs w:val="18"/>
          <w:color w:val="auto"/>
        </w:rPr>
      </w:pPr>
    </w:p>
    <w:p>
      <w:pPr>
        <w:ind w:left="1020" w:right="540" w:hanging="503"/>
        <w:spacing w:after="0" w:line="291"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timing and amount of any milestone, royalty or other payments due under any current or future collaboration or license agreement, including our existing license agreements with Emory University (Emory) and Luxna Biotech Co., Ltd. (Luxna);</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1" w:name="page52"/>
    <w:bookmarkEnd w:id="51"/>
    <w:p>
      <w:pPr>
        <w:ind w:left="1020" w:right="68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any future approved products, and potential future drugs that compete with our products;</w:t>
      </w:r>
    </w:p>
    <w:p>
      <w:pPr>
        <w:spacing w:after="0" w:line="62" w:lineRule="exact"/>
        <w:rPr>
          <w:rFonts w:ascii="Arial" w:cs="Arial" w:eastAsia="Arial" w:hAnsi="Arial"/>
          <w:sz w:val="18"/>
          <w:szCs w:val="18"/>
          <w:color w:val="auto"/>
        </w:rPr>
      </w:pPr>
    </w:p>
    <w:p>
      <w:pPr>
        <w:ind w:left="1020" w:right="20" w:hanging="503"/>
        <w:spacing w:after="0" w:line="291"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timing and cost to establish a sales, marketing, medical affairs and distribution infrastructure to commercialize any products for which we may obtain marketing approval and intend to commercialize on our own or jointly with current or future collaborators;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products and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level of demand for any future approved products, which may vary significantly over time;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accounting pronouncements or changes in accounting principles or our accounting policies; and</w:t>
      </w:r>
    </w:p>
    <w:p>
      <w:pPr>
        <w:spacing w:after="0" w:line="103" w:lineRule="exact"/>
        <w:rPr>
          <w:rFonts w:ascii="Arial" w:cs="Arial" w:eastAsia="Arial" w:hAnsi="Arial"/>
          <w:sz w:val="18"/>
          <w:szCs w:val="18"/>
          <w:color w:val="auto"/>
        </w:rPr>
      </w:pPr>
    </w:p>
    <w:p>
      <w:pPr>
        <w:ind w:left="1020" w:right="140" w:hanging="503"/>
        <w:spacing w:after="0" w:line="291"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timing and success or failure of nonclinical studies and clinical trials for our drug candidates or competing drug candidates, or any other change in the competitive landscape of our industry, including consolidation among our competitors or collaboration partners.</w:t>
      </w:r>
    </w:p>
    <w:p>
      <w:pPr>
        <w:spacing w:after="0" w:line="39"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74"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revenue or earnings guidance we may provide.</w:t>
      </w:r>
    </w:p>
    <w:p>
      <w:pPr>
        <w:spacing w:after="0" w:line="4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b w:val="1"/>
          <w:bCs w:val="1"/>
          <w:i w:val="1"/>
          <w:iCs w:val="1"/>
          <w:color w:val="auto"/>
        </w:rPr>
        <w:t>Our business could be materially adversely affected by the effects of health pandemics or epidemics, including the current outbreak of COVID-19 and future coronavirus outbreaks, and in particular in regions where we or third parties on which we rely have significant manufacturing facilities, concentrations of clinical trial sites or other business operations, including the San Francisco Bay Area where our headquarters are located.</w:t>
      </w:r>
    </w:p>
    <w:p>
      <w:pPr>
        <w:spacing w:after="0" w:line="39"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Our business could be materially adversely affected by the effects of health pandemics or epidemics, including the current outbreak of COVID-19, which the World Health Organization declared a global pandemic and which has prompted severe lifestyle and commercial restrictions aimed at reducing the spread of the disease. In March 2020, the San Francisco Bay Area counties issued a joint shelter-in-place order, which was subsequently followed by a California state-wide shelter order, and other state and local governments implemented similar orders which, among other things, directed individuals to shelter at their places of residence, directed businesses and governmental agencies to cease non-essential operations at physical locations, prohibited certain non-essential gatherings, and ordered cessation of non-essential travel. As a result of these developments, we implemented work-from-home policies for most of our employees. Since the availability of COVID-19 vaccines, almost all of our U.S. employees have been fully vaccinated and as a result, we are allowing such employees to return to work at our U.S. facility. However, as the global COVID-19 pandemic and orders and guidance from state and local governments continue to evolve, we may need to reverse course and again implement work-from-home policies as necessary. For example, given the Omicron variant of COVID-19, we again implemented work-from-home policies for our employees in January 2022. While we have allowed our employees to return to work at our U.S. facility as of March 2022, we continue to monitor the COVID-19 situation and may once again reverse course as necessary. Government-imposed quarantines and our work-from-home policies may negatively impact productivity, disrupt our business and delay our clinical programs and timelines, the magnitude of which will depend, in part, on the length and severity of the restrictions, the potential impact of changing government orders in response to upticks in COVID-19 cases and other limitations on our ability to conduct our business in the ordinary course. Although we do not anticipate any impacts to our clinical programs, these and similar, and perhaps more severe, disruptions in our operations could negatively impact our business, operating results and financial condition in the future.</w:t>
      </w:r>
    </w:p>
    <w:p>
      <w:pPr>
        <w:spacing w:after="0" w:line="61" w:lineRule="exact"/>
        <w:rPr>
          <w:sz w:val="20"/>
          <w:szCs w:val="20"/>
          <w:color w:val="auto"/>
        </w:rPr>
      </w:pPr>
    </w:p>
    <w:p>
      <w:pPr>
        <w:jc w:val="both"/>
        <w:ind w:right="60" w:firstLine="509"/>
        <w:spacing w:after="0" w:line="294" w:lineRule="auto"/>
        <w:rPr>
          <w:sz w:val="20"/>
          <w:szCs w:val="20"/>
          <w:color w:val="auto"/>
        </w:rPr>
      </w:pPr>
      <w:r>
        <w:rPr>
          <w:rFonts w:ascii="Arial" w:cs="Arial" w:eastAsia="Arial" w:hAnsi="Arial"/>
          <w:sz w:val="16"/>
          <w:szCs w:val="16"/>
          <w:color w:val="auto"/>
        </w:rPr>
        <w:t>Quarantines, shutdowns and shelter-in-place and similar government orders related to COVID-19 or other infectious diseases, or the perception that such events, orders or other restrictions on the conduct of business operations could occur, could impact personnel at third-party manufacturing facilities in the United States and other countries, or the availability or cost of materials, which would disrupt our supply chain. Although we do not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2" w:name="page53"/>
    <w:bookmarkEnd w:id="52"/>
    <w:p>
      <w:pPr>
        <w:ind w:right="160"/>
        <w:spacing w:after="0" w:line="261" w:lineRule="auto"/>
        <w:rPr>
          <w:sz w:val="20"/>
          <w:szCs w:val="20"/>
          <w:color w:val="auto"/>
        </w:rPr>
      </w:pPr>
      <w:r>
        <w:rPr>
          <w:rFonts w:ascii="Arial" w:cs="Arial" w:eastAsia="Arial" w:hAnsi="Arial"/>
          <w:sz w:val="18"/>
          <w:szCs w:val="18"/>
          <w:color w:val="auto"/>
        </w:rPr>
        <w:t>anticipate any clinical supply issues or concerns for our planned clinical trials, restrictions resulting from the COVID-19 outbreak may disrupt our supply chain in the future and delay or limit our ability to obtain sufficient materials for our drug candidates.</w:t>
      </w:r>
    </w:p>
    <w:p>
      <w:pPr>
        <w:spacing w:after="0" w:line="63" w:lineRule="exact"/>
        <w:rPr>
          <w:sz w:val="20"/>
          <w:szCs w:val="20"/>
          <w:color w:val="auto"/>
        </w:rPr>
      </w:pPr>
    </w:p>
    <w:p>
      <w:pPr>
        <w:ind w:right="80" w:firstLine="509"/>
        <w:spacing w:after="0" w:line="279" w:lineRule="auto"/>
        <w:rPr>
          <w:sz w:val="20"/>
          <w:szCs w:val="20"/>
          <w:color w:val="auto"/>
        </w:rPr>
      </w:pPr>
      <w:r>
        <w:rPr>
          <w:rFonts w:ascii="Arial" w:cs="Arial" w:eastAsia="Arial" w:hAnsi="Arial"/>
          <w:sz w:val="16"/>
          <w:szCs w:val="16"/>
          <w:color w:val="auto"/>
        </w:rPr>
        <w:t>In addition, our current clinical trial and planned clinical trials may be affected by the ongoing COVID-19 pandemic. Site initiation and patient enrollment may be delayed due to prioritization of hospital resources toward the COVID-19 pandemic, and potential patients may not be able or willing to comply with clinical trial protocols, whether due to quarantines impeding patient movement or interrupting healthcare services, or due to potential patient concerns regarding interactions with medical facilities or staff. Similarly, our ability to recruit and retain principal investigators and site staff who, as healthcare providers, may have heightened exposure to COVID-19, may be delayed or disrupted, which may adversely impact our clinical trial operations.</w:t>
      </w:r>
    </w:p>
    <w:p>
      <w:pPr>
        <w:spacing w:after="0" w:line="5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addition, the global COVID-19 pandemic has adversely affected, and any future significant outbreak of contagious diseases in the human population could similarly adversely affect, the economies and financial markets of many countries, including the United States, resulting in an economic downturn that could suppress demand for our future products. Any of these events could have a material adverse effect on our business, financial condition, results of operations or cash flows.</w:t>
      </w:r>
    </w:p>
    <w:p>
      <w:pPr>
        <w:spacing w:after="0" w:line="80"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addition, while the duration and severity of the effects of COVID-19 may be difficult to assess or predict, a continuing widespread pandemic could result in significant disruption of global financial markets, reducing our ability to access capital, which could negatively affect our liquidity and ability to progress our operations. In addition, a recession, down-turn, market correction or supply chain disruption resulting from the COVID-19 pandemic or other health pandemics or epidemics could materially adversely affect the value of our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regulatory process</w:t>
      </w:r>
    </w:p>
    <w:p>
      <w:pPr>
        <w:spacing w:after="0" w:line="108" w:lineRule="exact"/>
        <w:rPr>
          <w:sz w:val="20"/>
          <w:szCs w:val="20"/>
          <w:color w:val="auto"/>
        </w:rPr>
      </w:pPr>
    </w:p>
    <w:p>
      <w:pPr>
        <w:jc w:val="both"/>
        <w:ind w:right="60"/>
        <w:spacing w:after="0" w:line="294" w:lineRule="auto"/>
        <w:rPr>
          <w:sz w:val="20"/>
          <w:szCs w:val="20"/>
          <w:color w:val="auto"/>
        </w:rPr>
      </w:pPr>
      <w:r>
        <w:rPr>
          <w:rFonts w:ascii="Arial" w:cs="Arial" w:eastAsia="Arial" w:hAnsi="Arial"/>
          <w:sz w:val="16"/>
          <w:szCs w:val="16"/>
          <w:b w:val="1"/>
          <w:bCs w:val="1"/>
          <w:i w:val="1"/>
          <w:iCs w:val="1"/>
          <w:color w:val="auto"/>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39" w:lineRule="exact"/>
        <w:rPr>
          <w:sz w:val="20"/>
          <w:szCs w:val="20"/>
          <w:color w:val="auto"/>
        </w:rPr>
      </w:pPr>
    </w:p>
    <w:p>
      <w:pPr>
        <w:ind w:firstLine="509"/>
        <w:spacing w:after="0" w:line="244" w:lineRule="auto"/>
        <w:rPr>
          <w:sz w:val="20"/>
          <w:szCs w:val="20"/>
          <w:color w:val="auto"/>
        </w:rPr>
      </w:pPr>
      <w:r>
        <w:rPr>
          <w:rFonts w:ascii="Arial" w:cs="Arial" w:eastAsia="Arial" w:hAnsi="Arial"/>
          <w:sz w:val="17"/>
          <w:szCs w:val="17"/>
          <w:color w:val="auto"/>
        </w:rPr>
        <w:t>Our clinical development efforts across our drug candidates are in an early stage. We have initiated clinical trials for our most advanced drug candidates in many countries ALG-000184 in New Zealand, Hong Kong, the United Kingdom, South Korea, China and Moldova and ALG-020572 in New Zealand. Our other programs are in the discovery or nonclinical development stage. We have invested substantially all of our efforts and financial resources in the identification of targets and nonclinical development of therapeutics to address hepatological indications and viral diseases. However, the biology of these indications and diseases is complex and not completely understood, and our current and future drug candidates may never achieve expected or functional levels of efficacy or achieve an acceptable safety profile. For example, our CHB portfolio previously included our STOPS</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drug candidate, ALG-010133, one of our proprietary s-antigen transport-inhibiting oligonucleotide polymers that was in a Phase 1b dose range finding trial (NCT04485663) evaluating subjects with CHB. However, in January 2022, we announced we halted further development of ALG-010133 based on data from such trial indicating insufficient antiviral activity to warrant further development of such drug candidate. Our use of clinically validated targets to pursue treatments of these indications and diseases does not guarantee efficacy or safety or necessarily reduce the risk that our current or future drug candidates will not achieve expected or functional levels of efficacy or achieve an acceptable safety profile.</w:t>
      </w:r>
    </w:p>
    <w:p>
      <w:pPr>
        <w:spacing w:after="0" w:line="79"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drug candidates we develop, which may never occur. Our current drug candidates, and any future drug candidates we develop, will require additional nonclinical and clinical development, management of clinical, nonclinical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83" w:lineRule="exact"/>
        <w:rPr>
          <w:sz w:val="20"/>
          <w:szCs w:val="20"/>
          <w:color w:val="auto"/>
        </w:rPr>
      </w:pPr>
    </w:p>
    <w:p>
      <w:pPr>
        <w:ind w:right="60" w:firstLine="509"/>
        <w:spacing w:after="0" w:line="212" w:lineRule="exact"/>
        <w:rPr>
          <w:sz w:val="20"/>
          <w:szCs w:val="20"/>
          <w:color w:val="auto"/>
        </w:rPr>
      </w:pPr>
      <w:r>
        <w:rPr>
          <w:rFonts w:ascii="Arial" w:cs="Arial" w:eastAsia="Arial" w:hAnsi="Arial"/>
          <w:sz w:val="18"/>
          <w:szCs w:val="18"/>
          <w:color w:val="auto"/>
        </w:rPr>
        <w:t>As an organization, we have not yet completed any clinical trials for any of our drug candidates. Each of our lead drug candidates ALG-000184 and ALG</w:t>
      </w:r>
      <w:r>
        <w:rPr>
          <w:rFonts w:ascii="MS PGothic" w:cs="MS PGothic" w:eastAsia="MS PGothic" w:hAnsi="MS PGothic"/>
          <w:sz w:val="18"/>
          <w:szCs w:val="18"/>
          <w:color w:val="auto"/>
        </w:rPr>
        <w:t>‑</w:t>
      </w:r>
      <w:r>
        <w:rPr>
          <w:rFonts w:ascii="Arial" w:cs="Arial" w:eastAsia="Arial" w:hAnsi="Arial"/>
          <w:sz w:val="18"/>
          <w:szCs w:val="18"/>
          <w:color w:val="auto"/>
        </w:rPr>
        <w:t>020572 are currently being evaluated in Phase 1 clinical trials in many countries ALG-000184 in New Zealand, Hong Kong, the United Kingdom, South Korea, China and Moldova, and</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3" w:name="page54"/>
    <w:bookmarkEnd w:id="53"/>
    <w:p>
      <w:pPr>
        <w:spacing w:after="0" w:line="269" w:lineRule="auto"/>
        <w:rPr>
          <w:sz w:val="20"/>
          <w:szCs w:val="20"/>
          <w:color w:val="auto"/>
        </w:rPr>
      </w:pPr>
      <w:r>
        <w:rPr>
          <w:rFonts w:ascii="Arial" w:cs="Arial" w:eastAsia="Arial" w:hAnsi="Arial"/>
          <w:sz w:val="16"/>
          <w:szCs w:val="16"/>
          <w:color w:val="auto"/>
        </w:rPr>
        <w:t>ALG-020572 in New Zealand. As a company, we have limited experience in preparing, submitting and prosecuting regulatory filings. Specifically, we have not previously submitted a new drug application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comparable regulatory filing must also include significant information regarding the chemistry, manufacturing and controls for the product. We have had limited interactions with the FDA and cannot be certain how many clinical trials of any of our drug candidates will be required or whether the FDA will agree with the design or implementation of our clinical trials. In addition, we cannot be certain that our current or future drug candidates will be successful in clinical trials such that the information contained in an NDA or comparable regulatory filing would support approval, and thus we cannot guarantee that any of our drug candidates will receive regulatory approval. Further, even if our current or future drug candidates are successful in clinical trials, such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third-party reimbursement and adoption by physicians.</w:t>
      </w:r>
    </w:p>
    <w:p>
      <w:pPr>
        <w:spacing w:after="0" w:line="171"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We plan to seek regulatory approval to commercialize our drug candidates both in the United States and in select foreign countries. While the scope of regulatory approval in other countries is generally similar to that in the United States,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success of our current and future drug candidates will depend on many factors, which may include the following:</w:t>
      </w:r>
    </w:p>
    <w:p>
      <w:pPr>
        <w:spacing w:after="0" w:line="104" w:lineRule="exact"/>
        <w:rPr>
          <w:sz w:val="20"/>
          <w:szCs w:val="20"/>
          <w:color w:val="auto"/>
        </w:rPr>
      </w:pPr>
    </w:p>
    <w:p>
      <w:pPr>
        <w:ind w:left="1020" w:right="22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nonclinical studies and clinical trials, and our ability to raise any additional required capital on acceptable terms, or at all;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develop and successfully utilize our drug discovery platforms;</w:t>
      </w:r>
    </w:p>
    <w:p>
      <w:pPr>
        <w:spacing w:after="0" w:line="103"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timely and successful completion of our nonclinical studies and clinical trials, which may be significantly slower or cost more than we currently anticipate and will depend substantially upon the performance of third-party contractors;</w:t>
      </w:r>
    </w:p>
    <w:p>
      <w:pPr>
        <w:spacing w:after="0" w:line="62" w:lineRule="exact"/>
        <w:rPr>
          <w:rFonts w:ascii="Arial" w:cs="Arial" w:eastAsia="Arial" w:hAnsi="Arial"/>
          <w:sz w:val="18"/>
          <w:szCs w:val="18"/>
          <w:color w:val="auto"/>
        </w:rPr>
      </w:pPr>
    </w:p>
    <w:p>
      <w:pPr>
        <w:ind w:left="1020" w:right="90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of investigational new drug applications (INDs), clinical trial applications (CTAs) and/or similar applications in other jurisdictions for our planned and future clinical trials;</w:t>
      </w:r>
    </w:p>
    <w:p>
      <w:pPr>
        <w:spacing w:after="0" w:line="62"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we are required by the FDA or a comparable foreign regulatory agency to conduct additional clinical trials or other studies beyond those planned to support approval of our drug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successful data from our clinical program that supports an acceptable risk-benefit profile of our drug candidates in the intended populations;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receipt and maintenance of marketing approvals from applicable regulatory authorities;</w:t>
      </w:r>
    </w:p>
    <w:p>
      <w:pPr>
        <w:spacing w:after="0" w:line="103"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our drug candidates are approved;</w:t>
      </w:r>
    </w:p>
    <w:p>
      <w:pPr>
        <w:spacing w:after="0" w:line="62" w:lineRule="exact"/>
        <w:rPr>
          <w:rFonts w:ascii="Arial" w:cs="Arial" w:eastAsia="Arial" w:hAnsi="Arial"/>
          <w:sz w:val="18"/>
          <w:szCs w:val="18"/>
          <w:color w:val="auto"/>
        </w:rPr>
      </w:pPr>
    </w:p>
    <w:p>
      <w:pPr>
        <w:ind w:left="1020" w:right="100" w:hanging="503"/>
        <w:spacing w:after="0" w:line="324"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ability, and the ability of any third parties with whom we contract, to remain in good standing with regulatory agencies and develop, validate and maintain commercially viable manufacturing processes that are compliant with current good manufacturing practices (cGMPs);</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entry into collaborations to further the development of our drug candidates in select indications or geographies;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4" w:name="page55"/>
    <w:bookmarkEnd w:id="54"/>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maintaining and expanding our portfolio of intellectual property rights, including patents, trade secrets and know-how;</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enforcing and defending our intellectual property rights and having and successfully executing an intellectual property life cycle management strategy that supports long-term product development and commercialization goals;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and maintaining regulatory exclusivity for our drug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launching commercial sales of our drug candidates, if approved;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the drug candidate’s benefits and uses, if approved, by patients, the medical community and third-party payors;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prevalence, duration and severity of potential side effects or other safety issues experienced with our drug candidates following approval;</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 from third-party payors.</w:t>
      </w:r>
    </w:p>
    <w:p>
      <w:pPr>
        <w:spacing w:after="0" w:line="104" w:lineRule="exact"/>
        <w:rPr>
          <w:sz w:val="20"/>
          <w:szCs w:val="20"/>
          <w:color w:val="auto"/>
        </w:rPr>
      </w:pPr>
    </w:p>
    <w:p>
      <w:pPr>
        <w:ind w:right="260" w:firstLine="509"/>
        <w:spacing w:after="0" w:line="241" w:lineRule="auto"/>
        <w:rPr>
          <w:sz w:val="20"/>
          <w:szCs w:val="20"/>
          <w:color w:val="auto"/>
        </w:rPr>
      </w:pPr>
      <w:r>
        <w:rPr>
          <w:rFonts w:ascii="Arial" w:cs="Arial" w:eastAsia="Arial" w:hAnsi="Arial"/>
          <w:sz w:val="18"/>
          <w:szCs w:val="18"/>
          <w:color w:val="auto"/>
        </w:rPr>
        <w:t>If we are not successful with respect to one or more of these factors in a timely manner or at all, we could experience significant delays or an inability to successfully obtain approval of or commercialize the drug candidates we develop, which would materially harm our business. If we do not receive marketing approvals for our current or future drug candidates, we may not be able to continue our operations. Even if regulatory approvals are obtained, we may never be able to successfully commercialize any products. Accordingly, we cannot provide assurances that we will be able to generate sufficient revenue through the sale of products to continue our business.</w:t>
      </w:r>
    </w:p>
    <w:p>
      <w:pPr>
        <w:spacing w:after="0" w:line="81"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b w:val="1"/>
          <w:bCs w:val="1"/>
          <w:i w:val="1"/>
          <w:iCs w:val="1"/>
          <w:color w:val="auto"/>
        </w:rPr>
        <w:t>Nonclinical development is uncertain. Our nonclinical programs may experience delays or may never advance to clinical trials, which would adversely affect our ability to obtain regulatory approvals or commercialize our drug candidates on a timely basis or at all, which would have an adverse effect on our business.</w:t>
      </w:r>
    </w:p>
    <w:p>
      <w:pPr>
        <w:spacing w:after="0" w:line="74" w:lineRule="exact"/>
        <w:rPr>
          <w:sz w:val="20"/>
          <w:szCs w:val="20"/>
          <w:color w:val="auto"/>
        </w:rPr>
      </w:pPr>
    </w:p>
    <w:p>
      <w:pPr>
        <w:ind w:right="40" w:firstLine="509"/>
        <w:spacing w:after="0" w:line="205" w:lineRule="exact"/>
        <w:rPr>
          <w:sz w:val="20"/>
          <w:szCs w:val="20"/>
          <w:color w:val="auto"/>
        </w:rPr>
      </w:pPr>
      <w:r>
        <w:rPr>
          <w:rFonts w:ascii="Arial" w:cs="Arial" w:eastAsia="Arial" w:hAnsi="Arial"/>
          <w:sz w:val="17"/>
          <w:szCs w:val="17"/>
          <w:color w:val="auto"/>
        </w:rPr>
        <w:t>In order to obtain approval from the FDA and other major regulatory agencies in non-U.S. countries to market a new drug candidate, we must demonstrate proof of safety and efficacy in humans. To meet these requirements, we will have to conduct adequate and well-controlled clinical trials. Before we can commence clinical trials for a drug candidate, we must complete extensive nonclinical studies that support our planned INDs or CTAs in the United States and other countries. At this time, we have two drug candidates (ALG-000184 and ALG</w:t>
      </w:r>
      <w:r>
        <w:rPr>
          <w:rFonts w:ascii="MS PGothic" w:cs="MS PGothic" w:eastAsia="MS PGothic" w:hAnsi="MS PGothic"/>
          <w:sz w:val="17"/>
          <w:szCs w:val="17"/>
          <w:color w:val="auto"/>
        </w:rPr>
        <w:t>‑</w:t>
      </w:r>
      <w:r>
        <w:rPr>
          <w:rFonts w:ascii="Arial" w:cs="Arial" w:eastAsia="Arial" w:hAnsi="Arial"/>
          <w:sz w:val="17"/>
          <w:szCs w:val="17"/>
          <w:color w:val="auto"/>
        </w:rPr>
        <w:t>020572) being evaluated in Phase 1 clinical trials in many countries ALG-000184 in New Zealand, Hong Kong, the United Kingdom, South Korea, China and Moldova, and ALG-020572 in New Zealand. The rest of our programs are in nonclinical research or earlier stages of development, including our other chronic hepatitis B (CHB) drug candidates, our nonalcoholic steatohepatitis (NASH) drug candidate and our coronavirus drug candidates. We cannot be certain of the timely completion or outcome of our nonclinical studies and cannot predict if the FDA or other regulatory authorities will accept our proposed clinical programs or if the outcome of our nonclinical studies will ultimately support further development of our programs. In addition, the FDA may decline to accept the data we obtain from foreign clinical studies in support of an IND or NDA in the United States, which may require us to repeat or conduct additional nonclinical studies or clinical trials that we did not anticipate in the United States. As a result, we cannot be sure that we will be able to submit INDs in the United States, or CTAs or similar applications in other jurisdictions, on the timelines we expect, if at all, and we cannot be sure that submission of INDs, CTAs or similar applications will result in the FDA or other regulatory authorities allowing additional clinical trials to begin.</w:t>
      </w:r>
    </w:p>
    <w:p>
      <w:pPr>
        <w:spacing w:after="0" w:line="83"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Conducting nonclinical testing is a complex, lengthy, time-consuming and expensive process. The length of time may vary substantially according to the type, complexity and novelty of the program, and often can take several years or more per program. Delays associated with programs for which we are directly conducting nonclinical studies may cause us to incur additional operating expenses. Moreover, we may be affected by delays associated with the studies of certain programs that are the responsibility of potential future partners, if any, over which we have no control. The commencement and rate of completion of nonclinical studies and clinical trials for a drug candidate may be delayed by many factors, including:</w:t>
      </w:r>
    </w:p>
    <w:p>
      <w:pPr>
        <w:spacing w:after="0" w:line="51" w:lineRule="exact"/>
        <w:rPr>
          <w:sz w:val="20"/>
          <w:szCs w:val="20"/>
          <w:color w:val="auto"/>
        </w:rPr>
      </w:pPr>
    </w:p>
    <w:p>
      <w:pPr>
        <w:ind w:left="1020" w:right="44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or failure by us or third parties to comply with regulatory requirements, including the requirements of good laboratory practice (GLP);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5" w:name="page56"/>
    <w:bookmarkEnd w:id="55"/>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generate sufficient nonclinical or other in vivo or in vitro data to support the initiation of clinical studies;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delays in reaching a consensus with regulatory agencies on study design and obtaining regulatory authorization to commence clinical trials;</w:t>
      </w:r>
    </w:p>
    <w:p>
      <w:pPr>
        <w:spacing w:after="0" w:line="126" w:lineRule="exact"/>
        <w:rPr>
          <w:rFonts w:ascii="Arial" w:cs="Arial" w:eastAsia="Arial" w:hAnsi="Arial"/>
          <w:sz w:val="16"/>
          <w:szCs w:val="16"/>
          <w:color w:val="auto"/>
        </w:rPr>
      </w:pPr>
    </w:p>
    <w:p>
      <w:pPr>
        <w:ind w:left="1020" w:right="22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sufficient quantities of our drug candidates for use in nonclinical studies and clinical trials from third-party suppliers on a timely basis;</w:t>
      </w:r>
    </w:p>
    <w:p>
      <w:pPr>
        <w:spacing w:after="0" w:line="62" w:lineRule="exact"/>
        <w:rPr>
          <w:rFonts w:ascii="Arial" w:cs="Arial" w:eastAsia="Arial" w:hAnsi="Arial"/>
          <w:sz w:val="18"/>
          <w:szCs w:val="18"/>
          <w:color w:val="auto"/>
        </w:rPr>
      </w:pPr>
    </w:p>
    <w:p>
      <w:pPr>
        <w:ind w:left="1020" w:right="100" w:hanging="503"/>
        <w:spacing w:after="0" w:line="270"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delays due to the COVID-19 pandemic, including due to reduced workforce productivity as a result of our implementation of a temporary work-from-home policy or illness among personnel, or due to delays at our third-party contract research organizations throughout the world for similar reasons or due to restrictions imposed by applicable governmental authorities; and</w:t>
      </w:r>
    </w:p>
    <w:p>
      <w:pPr>
        <w:spacing w:after="0" w:line="55" w:lineRule="exact"/>
        <w:rPr>
          <w:rFonts w:ascii="Arial" w:cs="Arial" w:eastAsia="Arial" w:hAnsi="Arial"/>
          <w:sz w:val="17"/>
          <w:szCs w:val="17"/>
          <w:color w:val="auto"/>
        </w:rPr>
      </w:pPr>
    </w:p>
    <w:p>
      <w:pPr>
        <w:ind w:left="1020" w:hanging="503"/>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delays due to other global-scale potentially catastrophic events, including other pandemics, terrorism, war, and climate changes.</w:t>
      </w:r>
    </w:p>
    <w:p>
      <w:pPr>
        <w:spacing w:after="0" w:line="11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Moreover, even if candidates from our drug programs advance into clinical trials, our development efforts may not be successful, and clinical trials that we conduct or that third parties conduct on our behalf may not demonstrate sufficient safety or efficacy to obtain the requisite regulatory approvals for any drug candidates we develop. Even if we obtain positive results from nonclinical studies or initial clinical trials, we may not achieve the same success in future trials.</w:t>
      </w:r>
    </w:p>
    <w:p>
      <w:pPr>
        <w:spacing w:after="0" w:line="80" w:lineRule="exact"/>
        <w:rPr>
          <w:sz w:val="20"/>
          <w:szCs w:val="20"/>
          <w:color w:val="auto"/>
        </w:rPr>
      </w:pPr>
    </w:p>
    <w:p>
      <w:pPr>
        <w:ind w:right="320"/>
        <w:spacing w:after="0" w:line="356" w:lineRule="auto"/>
        <w:rPr>
          <w:sz w:val="20"/>
          <w:szCs w:val="20"/>
          <w:color w:val="auto"/>
        </w:rPr>
      </w:pPr>
      <w:r>
        <w:rPr>
          <w:rFonts w:ascii="Arial" w:cs="Arial" w:eastAsia="Arial" w:hAnsi="Arial"/>
          <w:sz w:val="15"/>
          <w:szCs w:val="15"/>
          <w:b w:val="1"/>
          <w:bCs w:val="1"/>
          <w:i w:val="1"/>
          <w:iCs w:val="1"/>
          <w:color w:val="auto"/>
        </w:rPr>
        <w:t>The regulatory approval processes of the FDA, the EMA and comparable foreign authorities are lengthy, time-consuming, complex and inherently unpredictable, and if we are ultimately unable to obtain regulatory approval for our drug candidates, our business will be substantially harmed.</w:t>
      </w:r>
    </w:p>
    <w:p>
      <w:pPr>
        <w:spacing w:after="0" w:line="1"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across jurisdictions. We have not obtained regulatory approval for any drug candidate and it is possible that none of our current or future drug candidates will ever obtain regulatory approval.</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current and future drug candidates could fail to receive regulatory approval for many reasons, including the following:</w:t>
      </w:r>
    </w:p>
    <w:p>
      <w:pPr>
        <w:spacing w:after="0" w:line="104"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FDA, the EMA or comparable foreign regulatory authorities may disagree with the design or implementation of our clinical trials;</w:t>
      </w:r>
    </w:p>
    <w:p>
      <w:pPr>
        <w:spacing w:after="0" w:line="115" w:lineRule="exact"/>
        <w:rPr>
          <w:rFonts w:ascii="Arial" w:cs="Arial" w:eastAsia="Arial" w:hAnsi="Arial"/>
          <w:sz w:val="17"/>
          <w:szCs w:val="17"/>
          <w:color w:val="auto"/>
        </w:rPr>
      </w:pPr>
    </w:p>
    <w:p>
      <w:pPr>
        <w:ind w:left="1020" w:right="4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comparable foreign regulatory authorities that a drug candidate is safe or effective for its proposed indication;</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comparable foreign regulatory authorities for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103" w:lineRule="exact"/>
        <w:rPr>
          <w:rFonts w:ascii="Arial" w:cs="Arial" w:eastAsia="Arial" w:hAnsi="Arial"/>
          <w:sz w:val="18"/>
          <w:szCs w:val="18"/>
          <w:color w:val="auto"/>
        </w:rPr>
      </w:pPr>
    </w:p>
    <w:p>
      <w:pPr>
        <w:ind w:left="1020" w:right="78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our interpretation of data from clinical trials or nonclinical studies;</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data collected from clinical trials of our drug candidates may not be sufficient to support the submission of an NDA to the FDA or other submission or to obtain regulatory approval in the United States, the European Union or elsewhere;</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find deficiencies with or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comparable foreign regulatory authorities may significantly change in a manner rendering our clinical data insufficient for approval.</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56" w:name="page57"/>
    <w:bookmarkEnd w:id="56"/>
    <w:p>
      <w:pPr>
        <w:ind w:firstLine="509"/>
        <w:spacing w:after="0" w:line="259" w:lineRule="auto"/>
        <w:rPr>
          <w:sz w:val="20"/>
          <w:szCs w:val="20"/>
          <w:color w:val="auto"/>
        </w:rPr>
      </w:pPr>
      <w:r>
        <w:rPr>
          <w:rFonts w:ascii="Arial" w:cs="Arial" w:eastAsia="Arial" w:hAnsi="Arial"/>
          <w:sz w:val="17"/>
          <w:szCs w:val="17"/>
          <w:color w:val="auto"/>
        </w:rPr>
        <w:t>This lengthy approval process as well as the unpredictability of clinical trial results may result in our failing to obtain regulatory approval to market any drug candidate we develop, which would significantly harm our business, results of operations and prospects. The FDA, the EMA and other comparable foreign authorities have substantial discretion in the approval process, and in determining when or whether regulatory approval will be obtained for any drug candidate that we develop. Even if we believe the data collected from future clinical trials of our drug candidates are promising, such data may not be sufficient to support approval by the FDA, the EMA or any other regulatory authority.</w:t>
      </w:r>
    </w:p>
    <w:p>
      <w:pPr>
        <w:spacing w:after="0" w:line="66"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that we believe are necessary or desirable for the successful commercialization of that drug candidate. Any of the foregoing scenarios could materially harm the commercial prospects for our drug candidates.</w:t>
      </w:r>
    </w:p>
    <w:p>
      <w:pPr>
        <w:spacing w:after="0" w:line="81"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We cannot be certain that any of our programs will be successful in clinical trials or receive regulatory approval. Further, drug candidates we develop may not receive regulatory approval even if they are successful in clinical trials. If we do not receive regulatory approvals for our drug candidates, we may not be able to continue our operations.</w:t>
      </w:r>
    </w:p>
    <w:p>
      <w:pPr>
        <w:spacing w:after="0" w:line="74" w:lineRule="exact"/>
        <w:rPr>
          <w:sz w:val="20"/>
          <w:szCs w:val="20"/>
          <w:color w:val="auto"/>
        </w:rPr>
      </w:pPr>
    </w:p>
    <w:p>
      <w:pPr>
        <w:ind w:right="180"/>
        <w:spacing w:after="0" w:line="322" w:lineRule="auto"/>
        <w:rPr>
          <w:sz w:val="20"/>
          <w:szCs w:val="20"/>
          <w:color w:val="auto"/>
        </w:rPr>
      </w:pPr>
      <w:r>
        <w:rPr>
          <w:rFonts w:ascii="Arial" w:cs="Arial" w:eastAsia="Arial" w:hAnsi="Arial"/>
          <w:sz w:val="15"/>
          <w:szCs w:val="15"/>
          <w:b w:val="1"/>
          <w:bCs w:val="1"/>
          <w:i w:val="1"/>
          <w:iCs w:val="1"/>
          <w:color w:val="auto"/>
        </w:rPr>
        <w:t>Clinical product development involves a lengthy and expensive process, with uncertain outcomes. We may experience delays in completing, or ultimately be unable to complete, the development and commercialization of our current and future drug candidates, which could result in increased costs to us, delay or limit our ability to generate revenue and adversely affect our business, financial condition, results of operations and prospects.</w:t>
      </w:r>
    </w:p>
    <w:p>
      <w:pPr>
        <w:spacing w:after="0" w:line="21"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To obtain the requisite regulatory approvals to commercialize any of our drug candidates, we must demonstrate through extensive nonclinical studies and clinical trials that our products are safe and effective in humans. Clinical trials are expensive and can take many years to complete, and their outcomes are inherently uncertain. Failure can occur at any time during the clinical trial process and our future clinical trial results may not be successful. For example, in January 2022, we halted further development of ALG-010133. This decision was based on emerging data from the Phase 1 Study ALG-010133-101</w:t>
      </w:r>
      <w:r>
        <w:rPr>
          <w:rFonts w:ascii="Arial" w:cs="Arial" w:eastAsia="Arial" w:hAnsi="Arial"/>
          <w:sz w:val="16"/>
          <w:szCs w:val="16"/>
          <w:color w:val="auto"/>
          <w:strike w:val="1"/>
        </w:rPr>
        <w:t>,</w:t>
      </w:r>
      <w:r>
        <w:rPr>
          <w:rFonts w:ascii="Arial" w:cs="Arial" w:eastAsia="Arial" w:hAnsi="Arial"/>
          <w:sz w:val="16"/>
          <w:szCs w:val="16"/>
          <w:color w:val="auto"/>
        </w:rPr>
        <w:t>that indicated that at the projected efficacious dose (400 mg, estimated to achieve liver exposures &gt;3 x EC90 for HBsAg inhibition) there was no meaningful HBsAg reduction. Furthermore, higher doses levels (maximum feasible dose is 600 mg) that were planned to be evaluated in a subsequent cohort were very unlikely to reach the 1 log10 IU/mL HBsAg reduction level that we had previously defined as necessary to advance the program.</w:t>
      </w:r>
    </w:p>
    <w:p>
      <w:pPr>
        <w:spacing w:after="0" w:line="55"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We may experience delays in completing our clinical trials and initiating or completing additional clinical trials. We may also experience numerous unforeseen events prior to, during, or as a result of our nonclinical studies or clinical trials that could delay or prevent our ability to receive marketing approval or commercialize the drug candidates we develop, including:</w:t>
      </w:r>
    </w:p>
    <w:p>
      <w:pPr>
        <w:spacing w:after="0" w:line="74" w:lineRule="exact"/>
        <w:rPr>
          <w:sz w:val="20"/>
          <w:szCs w:val="20"/>
          <w:color w:val="auto"/>
        </w:rPr>
      </w:pPr>
    </w:p>
    <w:p>
      <w:pPr>
        <w:ind w:left="1020" w:right="2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regulators, Institutional Review Boards (IRBs) or ethics committees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contract research organizations (CROs);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may be larger than we anticipate;</w:t>
      </w:r>
    </w:p>
    <w:p>
      <w:pPr>
        <w:spacing w:after="0" w:line="103" w:lineRule="exact"/>
        <w:rPr>
          <w:rFonts w:ascii="Arial" w:cs="Arial" w:eastAsia="Arial" w:hAnsi="Arial"/>
          <w:sz w:val="18"/>
          <w:szCs w:val="18"/>
          <w:color w:val="auto"/>
        </w:rPr>
      </w:pPr>
    </w:p>
    <w:p>
      <w:pPr>
        <w:ind w:left="1020" w:right="80" w:hanging="503"/>
        <w:spacing w:after="0" w:line="324"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it may be difficult to enroll a sufficient number of suitable patients, or enrollment in these clinical trials may be slower than we anticipate or participants may drop out of these clinical trials or fail to return for post-treatment follow-up at a higher rate than we anticipate;</w:t>
      </w:r>
    </w:p>
    <w:p>
      <w:pPr>
        <w:spacing w:after="0" w:line="16" w:lineRule="exact"/>
        <w:rPr>
          <w:rFonts w:ascii="Arial" w:cs="Arial" w:eastAsia="Arial" w:hAnsi="Arial"/>
          <w:sz w:val="16"/>
          <w:szCs w:val="16"/>
          <w:color w:val="auto"/>
        </w:rPr>
      </w:pPr>
    </w:p>
    <w:p>
      <w:pPr>
        <w:ind w:left="1020" w:right="40" w:hanging="503"/>
        <w:spacing w:after="0" w:line="248"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us to add new clinical trial sites or investigators;</w:t>
      </w:r>
    </w:p>
    <w:p>
      <w:pPr>
        <w:spacing w:after="0" w:line="7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supply or quality of materials for drug candidates we develop or other materials necessary to conduct clinical trials may be insufficient or inadequate; and</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57" w:name="page58"/>
    <w:bookmarkEnd w:id="57"/>
    <w:p>
      <w:pPr>
        <w:ind w:left="1020" w:right="30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experience disruptions by man-made or natural disasters or public health pandemics or epidemics or other business interruptions, including the current COVID-19 pandemic and future outbreaks of the disease.</w:t>
      </w:r>
    </w:p>
    <w:p>
      <w:pPr>
        <w:spacing w:after="0" w:line="63"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We could encounter delays if a clinical trial is suspended or terminated by us, by the IRBs or ethics committees of the institutions in which such trials are being conducted, by a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drug candidates.</w:t>
      </w:r>
    </w:p>
    <w:p>
      <w:pPr>
        <w:spacing w:after="0" w:line="72"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Further, we are currently conducting clinical trials of ALG-000184 and ALG-020572 in many countries, ALG-000184 in New Zealand, Hong Kong, the United Kingdom, South Korea, China and Moldova and ALG-020572 in New Zealand. We may also in the future conduct clinical trials for these and other drug candidates in other countries and territories which presents additional risks that may delay completion of our clinical trials. These risks include the possibility that we could be required to conduct additional nonclinical studies before initiating any clinical trials, may be unable to enroll and retain patients as a result of differences in healthcare services, research guidelines or cultural customs, or may face additional administrative burdens associated with comparable foreign regulatory schemes, as well as political and economic risks relevant to such foreign countries.</w:t>
      </w:r>
    </w:p>
    <w:p>
      <w:pPr>
        <w:spacing w:after="0" w:line="16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If we experience termination or delays in the completion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Significant clinical trial delays could also allow our competitors to bring products to market before we do, shorten any periods during which we may have the exclusive right to commercialize our drug candidates, impair our ability to commercialize our drug candidates and harm our business and results of operations.</w:t>
      </w:r>
    </w:p>
    <w:p>
      <w:pPr>
        <w:spacing w:after="0" w:line="189" w:lineRule="exact"/>
        <w:rPr>
          <w:sz w:val="20"/>
          <w:szCs w:val="20"/>
          <w:color w:val="auto"/>
        </w:rPr>
      </w:pPr>
    </w:p>
    <w:p>
      <w:pPr>
        <w:ind w:firstLine="509"/>
        <w:spacing w:after="0" w:line="207" w:lineRule="exact"/>
        <w:rPr>
          <w:sz w:val="20"/>
          <w:szCs w:val="20"/>
          <w:color w:val="auto"/>
        </w:rPr>
      </w:pPr>
      <w:r>
        <w:rPr>
          <w:rFonts w:ascii="Arial" w:cs="Arial" w:eastAsia="Arial" w:hAnsi="Arial"/>
          <w:sz w:val="16"/>
          <w:szCs w:val="16"/>
          <w:color w:val="auto"/>
        </w:rPr>
        <w:t>Specifically, the clinical trial sites for our current drug trials, including for ALG-000184 and ALG</w:t>
      </w:r>
      <w:r>
        <w:rPr>
          <w:rFonts w:ascii="MS PGothic" w:cs="MS PGothic" w:eastAsia="MS PGothic" w:hAnsi="MS PGothic"/>
          <w:sz w:val="16"/>
          <w:szCs w:val="16"/>
          <w:color w:val="auto"/>
        </w:rPr>
        <w:t>‑</w:t>
      </w:r>
      <w:r>
        <w:rPr>
          <w:rFonts w:ascii="Arial" w:cs="Arial" w:eastAsia="Arial" w:hAnsi="Arial"/>
          <w:sz w:val="16"/>
          <w:szCs w:val="16"/>
          <w:color w:val="auto"/>
        </w:rPr>
        <w:t>020572 and future planned trials may be affected by the COVID-19 outbreak due to prioritization of hospital resources toward COVID-19 efforts, travel or quarantine restrictions imposed by national, federal, state or local governments, and the inability to access sites for initiation and patient monitoring and enrollment. As a result, patient screening, new patient enrollment, monitoring and data collection may be affected or delayed. Some of our third-party manufacturers we use for the supply of materials for drug candidates or other materials necessary to manufacture product to conduct clinical trials are located in countries affected by COVID-19, and, should they experience disruptions such as temporary closures or suspension of services, we would likely experience delays in advancing these trials.</w:t>
      </w:r>
    </w:p>
    <w:p>
      <w:pPr>
        <w:spacing w:after="0" w:line="189"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Separately, principal investigators for our clinical trials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clinical trial, the integrity of the data generated at the applicable clinical trial site may be questioned and the utility of the clinical trial itself may be jeopardized, which could result in the delay or rejection of any applications we submit. Any such delay or rejection could prevent or delay us from commercializing our current or future drug candidates.</w:t>
      </w:r>
    </w:p>
    <w:p>
      <w:pPr>
        <w:spacing w:after="0" w:line="51" w:lineRule="exact"/>
        <w:rPr>
          <w:sz w:val="20"/>
          <w:szCs w:val="20"/>
          <w:color w:val="auto"/>
        </w:rPr>
      </w:pPr>
    </w:p>
    <w:p>
      <w:pPr>
        <w:ind w:right="400" w:firstLine="509"/>
        <w:spacing w:after="0" w:line="248" w:lineRule="auto"/>
        <w:rPr>
          <w:sz w:val="20"/>
          <w:szCs w:val="20"/>
          <w:color w:val="auto"/>
        </w:rPr>
      </w:pPr>
      <w:r>
        <w:rPr>
          <w:rFonts w:ascii="Arial" w:cs="Arial" w:eastAsia="Arial" w:hAnsi="Arial"/>
          <w:sz w:val="18"/>
          <w:szCs w:val="18"/>
          <w:color w:val="auto"/>
        </w:rPr>
        <w:t>Any of these occurrences may harm our business, financial condition and prospects significantly. In addition, many of the factors that cause, or could lead to, a delay in the commencement or completion of clinical trials may also ultimately lead to the denial of regulatory approval of our drug candidates or result in the development of our drug candidates being terminated.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8" w:name="page59"/>
    <w:bookmarkEnd w:id="58"/>
    <w:p>
      <w:pPr>
        <w:ind w:right="260"/>
        <w:spacing w:after="0" w:line="291" w:lineRule="auto"/>
        <w:rPr>
          <w:sz w:val="20"/>
          <w:szCs w:val="20"/>
          <w:color w:val="auto"/>
        </w:rPr>
      </w:pPr>
      <w:r>
        <w:rPr>
          <w:rFonts w:ascii="Arial" w:cs="Arial" w:eastAsia="Arial" w:hAnsi="Arial"/>
          <w:sz w:val="17"/>
          <w:szCs w:val="17"/>
          <w:b w:val="1"/>
          <w:bCs w:val="1"/>
          <w:i w:val="1"/>
          <w:iCs w:val="1"/>
          <w:color w:val="auto"/>
        </w:rPr>
        <w:t>Our pursuit of potential treatments for NASH is at an early stage and we may be unable to produce a therapy that successfully treats NASH. Even if successful, we may be unable to obtain regulatory approval for and successfully commercialize our drug candidates.</w:t>
      </w:r>
    </w:p>
    <w:p>
      <w:pPr>
        <w:spacing w:after="0" w:line="39" w:lineRule="exact"/>
        <w:rPr>
          <w:sz w:val="20"/>
          <w:szCs w:val="20"/>
          <w:color w:val="auto"/>
        </w:rPr>
      </w:pPr>
    </w:p>
    <w:p>
      <w:pPr>
        <w:ind w:right="60" w:firstLine="509"/>
        <w:spacing w:after="0" w:line="279" w:lineRule="auto"/>
        <w:rPr>
          <w:sz w:val="20"/>
          <w:szCs w:val="20"/>
          <w:color w:val="auto"/>
        </w:rPr>
      </w:pPr>
      <w:r>
        <w:rPr>
          <w:rFonts w:ascii="Arial" w:cs="Arial" w:eastAsia="Arial" w:hAnsi="Arial"/>
          <w:sz w:val="16"/>
          <w:szCs w:val="16"/>
          <w:color w:val="auto"/>
        </w:rPr>
        <w:t>We have invested, and will continue to invest, a significant portion of our time and financial resources in the pursuit of a treatment for NASH. If we cannot successfully develop, obtain regulatory approval for and commercialize our drug candidates for the treatment of NASH, our business may be harmed. The mechanism of action of our NASH drug candidates is complex, and we do not know the degree to which it will translate into a therapeutic benefit, if any, in NASH or any other indication, and we do not know the degree to which the complex mechanism of action may contribute to long-term safety issues or adverse events when our drug candidates are taken for prolonged periods, as is inherent in the treatment of NASH.</w:t>
      </w:r>
    </w:p>
    <w:p>
      <w:pPr>
        <w:spacing w:after="0" w:line="51"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In addition, the standards implemented by clinical or regulatory agencies may change at any time and we cannot be certain what efficacy endpoints the FDA or foreign clinical or regulatory agencies may require at the time we plan to conduct clinical trials with respect to NASH or any other applicable indication. Also, if we are able to obtain accelerated approval of our drug candidates based on a liver biopsy endpoint, we may be required to conduct a post-approval clinical outcomes trial to confirm the clinical benefit of the drug candidate; if any such post-approval trial is not successful, we would not be able to continue marketing the product.</w:t>
      </w:r>
    </w:p>
    <w:p>
      <w:pPr>
        <w:spacing w:after="0" w:line="81" w:lineRule="exact"/>
        <w:rPr>
          <w:sz w:val="20"/>
          <w:szCs w:val="20"/>
          <w:color w:val="auto"/>
        </w:rPr>
      </w:pPr>
    </w:p>
    <w:p>
      <w:pPr>
        <w:jc w:val="both"/>
        <w:ind w:right="80" w:firstLine="509"/>
        <w:spacing w:after="0" w:line="294" w:lineRule="auto"/>
        <w:rPr>
          <w:sz w:val="20"/>
          <w:szCs w:val="20"/>
          <w:color w:val="auto"/>
        </w:rPr>
      </w:pPr>
      <w:r>
        <w:rPr>
          <w:rFonts w:ascii="Arial" w:cs="Arial" w:eastAsia="Arial" w:hAnsi="Arial"/>
          <w:sz w:val="16"/>
          <w:szCs w:val="16"/>
          <w:color w:val="auto"/>
        </w:rPr>
        <w:t>If we are successful and any of our drug candidates are approved for the treatment of NASH, our drug candidates will likely compete with products that may be approved for the treatment of NASH prior to our drug candidates and/or that have greater efficacy than our drug candidates, either alone or in combination. Behavioral modifications, such as diet and exercise, can also decrease or eliminate the demand for our potential NASH treatments.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pursuit of potential therapies for COVID-19 is at an early stage.</w:t>
      </w:r>
    </w:p>
    <w:p>
      <w:pPr>
        <w:spacing w:after="0" w:line="104"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In response to the outbreak of COVID-19, the disease caused by the virus SARS-CoV-2, we are pursuing various potential therapies to address the disease, including protease inhibitors and oligonucleotides. Our identification and development of these potential therapies is at an early stage, and we may be unable to produce in a timely manner a therapy that successfully treats the virus or that has broad clinical applicability, if at all.</w:t>
      </w:r>
    </w:p>
    <w:p>
      <w:pPr>
        <w:spacing w:after="0" w:line="56"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For example, in June 2020, we entered into a Research, Licensing and Commercialization Agreement (the KU Leuven Agreement) with Katholieke Universiteit Leuven (KU Leuven) under which we are collaborating with KU Leuven’s Rega Institute for Medical Research, as well as its Centre for Drug Design and Discovery, to research, develop, manufacture and commercialize potential protease inhibitors for the treatment of coronaviruses, including SARS-CoV-2. The KU Leuven Agreement may not result in a therapy that successfully treats SARS-CoV-2. Further, if the KU Leuven Agreement does result in such a therapy, the therapy may not be developed and commercialized in a timely manner, or at all.</w:t>
      </w:r>
    </w:p>
    <w:p>
      <w:pPr>
        <w:spacing w:after="0" w:line="66"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We are also committing significant financial resources and personnel to the development of potential therapies for COVID-19, which may cause delays in or otherwise negatively impact our other development programs, despite uncertainties surrounding the longevity and extent of COVID-19 as a global health concern. COVID-19 may be substantially eradicated prior to our development of a successful therapy or a vaccine may be developed that is highly efficacious and widely adopted, reducing or eliminating the need for therapies to treat the disease. For instance, the Pfizer/BioNTech BNT162b2, the adenovirus type 26 (Ad26) vaccine by Janssen Pharmaceutical Companies of Johnson &amp; Johnson, and Moderna mRNA-1273 COVID-19 vaccines have been approved and/or authorized for emergency use and are in the process of being widely being administered in various countries throughout the world which could adversely impact the need for our potential COVID-19 therapies. Further, while we hope to develop potential therapies that are effective against other or future coronaviruses, in addition to SARS-CoV-2, we cannot be certain this will be the case. If our potential therapies are not effective against other or future coronaviruses, the value and/or sales potential of our therapies will be reduced or eliminated. Our business could be negatively impacted by our allocation of significant resources to a global health threat that is unpredictable and could rapidly dissipate or against which our potential therapies, if developed, may not be partially or fully effective, and may ultimately prove unsuccessful or unprofitable. Furthermore, there are no assurances that our therapy will be approved for inclusion in government stockpile programs, which may be material to the commercial success of any approved coronavirus-related drug candidate, either in the United States or abroad.</w:t>
      </w:r>
    </w:p>
    <w:p>
      <w:pPr>
        <w:spacing w:after="0" w:line="60"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We will also need to enter into manufacturing arrangements in the future in order to create a supply chain for our COVID-19 drug candidates that can adequately support demand. Even if we are successful in developing 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9" w:name="page60"/>
    <w:bookmarkEnd w:id="59"/>
    <w:p>
      <w:pPr>
        <w:ind w:right="220"/>
        <w:spacing w:after="0" w:line="261" w:lineRule="auto"/>
        <w:rPr>
          <w:sz w:val="20"/>
          <w:szCs w:val="20"/>
          <w:color w:val="auto"/>
        </w:rPr>
      </w:pPr>
      <w:r>
        <w:rPr>
          <w:rFonts w:ascii="Arial" w:cs="Arial" w:eastAsia="Arial" w:hAnsi="Arial"/>
          <w:sz w:val="18"/>
          <w:szCs w:val="18"/>
          <w:color w:val="auto"/>
        </w:rPr>
        <w:t>manufacturing an effective treatment for COVID-19, the SARS-CoV-2 virus could develop resistance to our treatment, which could affect any long-term demand or sales potential for our potential therapies.</w:t>
      </w:r>
    </w:p>
    <w:p>
      <w:pPr>
        <w:spacing w:after="0" w:line="63" w:lineRule="exact"/>
        <w:rPr>
          <w:sz w:val="20"/>
          <w:szCs w:val="20"/>
          <w:color w:val="auto"/>
        </w:rPr>
      </w:pPr>
    </w:p>
    <w:p>
      <w:pPr>
        <w:ind w:firstLine="554"/>
        <w:spacing w:after="0" w:line="266" w:lineRule="auto"/>
        <w:rPr>
          <w:sz w:val="20"/>
          <w:szCs w:val="20"/>
          <w:color w:val="auto"/>
        </w:rPr>
      </w:pPr>
      <w:r>
        <w:rPr>
          <w:rFonts w:ascii="Arial" w:cs="Arial" w:eastAsia="Arial" w:hAnsi="Arial"/>
          <w:sz w:val="16"/>
          <w:szCs w:val="16"/>
          <w:color w:val="auto"/>
        </w:rPr>
        <w:t>In addition, another party may be successful in producing a more efficacious therapy for COVID-19 or a therapy with a more convenient or preferred route of administration or in producing a therapy in a more timely manner, which may lead to the diversion of funding away from us and toward other companies or lead to decreased demand for our potential therapies. For instance, on December 22, 2021, Pfizer, Inc. received an emergency use authorization from the FDA for Paxlovid, an orally administered COVID-19 protease inhibitor. Similarly, Merck (together with Ridgeback Bio), is developing the drug Molnupiravir, an oral antiviral drug which similarly has been issued an emergency use authorization by the FDA on December 23, 2021. Also, Enanta Pharmaceuticals recently announced nomination of clinical candidate EDP-235 which is its lead oral protease inhibitor specifically designed for the treatment of COVID-19 and which is planned to enter the clinic early 2022. Additionally, Pardes Biosciences protease inhibitor, PBI-0451, is currently in Phase 1 clinical study with top-line results expected to be reported in the first quarter of 2022 and where early results showing potential for an unboosted oral regimen against COVID-19. Furthermore, Novartis is working on a once a day, pan-coronavirus, main protease inhibitor pill and plans to start human testing in 2022, and Shionogi has filed for manufacture and sales approval in Japan for its oral therapeutic drug for COVID-19, S-217622, a 3CL protease inhibitor for which Shiongoi has completed the analysis of primary endpoints in its Phase 2b part of a Phase 2/3 clinical trial. Faced with such competitor efforts, the value and/or market potential of our COVID-19 protease inhibitor program which is further behind in terms of development process may be adversely impacted. Further, other therapies that are more affordable than our potential therapies may be used to treat COVID-19, including existing generic drugs, which could also hurt the funding of and demand for our potential therapies. In addition to BioNTech SE (together with Pfizer Inc.), Moderna, Inc. and Janssen Pharmaceutical Companies of Johnson &amp; Johnson, there are efforts by several other public and private entities to develop a therapy or vaccine for COVID-19, including Alexion Pharmaceuticals Inc., Atea Pharmaceuticals, Inc. (together with Roche), Incyte Corporation, Sanofi S.A., Regeneron Pharmaceuticals, Inc., Amgen Inc. (together with Adaptive Biotechnologies Corporation), AbCellera Biologics, Inc. (together with Eli Lilly and Company), Vir Biotechnology, Inc. (together with Alnylam Pharmaceuticals, GSK, Biogen Inc. and WuXi Biologics Ltd.), Altimmune, Inc., AstraZeneca PLC (together with Oxford University), GlaxoSmithKline (GSK) (together with Sanofi S.A.), Heat Biologics, Inc., Inovio Pharmaceuticals, Inc., Novavax, Inc., Regeneron Pharmaceuticals Inc., Synairgen plc, Takeda Pharmaceutical Company Limited, and Vaxart, Inc., many of which are further along in the development process than we are. These other entities may be more successful at developing, manufacturing or commercializing a therapy for COVID-19, especially given that several of these other organizations are much larger than we are and have access to larger pools of capital, including U.S. government funding, and broader manufacturing infrastructure. The success or failure of other entities, or perceived success or failure, may adversely impact our ability to obtain any future funding for our development and manufacturing efforts or to ultimately commercialize a therapy for COVID-19, if approved.</w:t>
      </w:r>
    </w:p>
    <w:p>
      <w:pPr>
        <w:spacing w:after="0" w:line="27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The regulatory pathways for our drug candidates targeting SARS-CoV-2, the virus that causes COVID-19, are continually evolving, and may result in unexpected or unforeseen challenges.</w:t>
      </w:r>
    </w:p>
    <w:p>
      <w:pPr>
        <w:spacing w:after="0" w:line="63"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Our drug candidates targeting SARS-CoV-2, the virus that causes COVID-19, are in the early discovery stages. The speed at which companies and institutions are acting to create and test many therapeutics and vaccines for COVID-19 is unusually rapid and evolving or changing plans or priorities within the FDA, including changes based on new knowledge of COVID-19 and how the disease affects the human body, may significantly affect the regulatory timelines for our COVID-19 drug candidates. Results from our continued development and planned clinical trials may raise new questions and require us to redesign proposed nonclinical studies and clinical trials, including revising proposed endpoints or adding new clinical trial sites or cohorts of subjects, with minimal lead time.</w:t>
      </w:r>
    </w:p>
    <w:p>
      <w:pPr>
        <w:spacing w:after="0" w:line="81"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The FDA has the authority to grant an EUA to allow unapproved medical products to be used in an emergency to diagnose, treat, or prevent serious or life-threatening diseases or conditions when, based on the totality of scientific evidence, there is evidence of effectiveness of the medical product, and there are no adequate, approved, and available alternatives. For instance, the FDA had granted an EUA for each of the COVID-19 vaccines developed by Pfizer/BioNTech, Moderna and Janssen Pharmaceutical Companies of Johnson &amp; Johnson. In addition, on December 22, 2021, Pfizer, Inc. received an emergency use authorization from the FDA for Paxlovid, an orally administered COVID-19 protease inhibitor. Similarly, Merck (together with Ridgeback Bio), is developing the drug Molnupiravir, an oral antiviral drug which similarly has been issued an emergency use authorization by the FDA on December 23, 2021. Depending on the outcomes of our planned nonclinical and initial clinical testing for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0" w:name="page61"/>
    <w:bookmarkEnd w:id="60"/>
    <w:p>
      <w:pPr>
        <w:spacing w:after="0" w:line="253" w:lineRule="auto"/>
        <w:rPr>
          <w:sz w:val="20"/>
          <w:szCs w:val="20"/>
          <w:color w:val="auto"/>
        </w:rPr>
      </w:pPr>
      <w:r>
        <w:rPr>
          <w:rFonts w:ascii="Arial" w:cs="Arial" w:eastAsia="Arial" w:hAnsi="Arial"/>
          <w:sz w:val="17"/>
          <w:szCs w:val="17"/>
          <w:color w:val="auto"/>
        </w:rPr>
        <w:t>our proposed COVID-19 therapies, we may seek an EUA for one or more of our drug candidates for use in the ongoing public health emergency, which would permit us to commercialize a drug candidate prior to FDA approval of an NDA. However, commercialization under an EUA is permitted only during the underlying public health emergency (as declared by the Secretary of the Department of Health and Human Services), meaning that once the emergency declaration is terminated, we would be required to obtain NDA approval to continue marketing the product. Furthermore, the FDA may revoke an EUA based on a determination that the product no longer satisfies the criteria for issuance of an EUA—for example, if there is no longer evidence of effectiveness of the product or there are other adequate, approved alternatives. Accordingly, we cannot predict how long, if at all, an EUA for any of our drug candidates may remain in place. Any termination or revocation of an EUA (if any) for one of our drug candidates could adversely impact our business in a variety of ways, including if one of our COVID-19 drug candidates is not yet approved by the FDA and if we and our manufacturing partners have invested in the supply chain to provide one of our COVID-19 drug candidates under an EUA.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results of nonclinical studies and early-stage clinical trials may not be predictive of future results.</w:t>
      </w:r>
    </w:p>
    <w:p>
      <w:pPr>
        <w:spacing w:after="0" w:line="104"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The results of nonclinical studies may not be predictive of the results of clinical trials, and the results of any early-stage clinical trials we commence may not be predictive of the results of the later-stage clinical trials. Drug candidates in later stages of clinical trials may fail to show the desired safety and efficacy despite having progressed through nonclinical studies and initial clinical trials. There is a high failure rate for drugs proceeding through clinical trials, and a number of companies in the pharmaceutical and biotechnology industries have suffered significant setbacks in clinical development even after achieving promising results in earlier studies. There can be no assurance that any of our current or future clinical trials will ultimately be successful or support further clinical development of any of our drug candidates. Even if our clinical trials are completed, the results may not be sufficient to obtain regulatory approval of any products. Any such setbacks in our clinical development could have a material adverse effect on our business and operating results.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“topline” and preliminary data from our clinical trials may differ materially from the final data.</w:t>
      </w:r>
    </w:p>
    <w:p>
      <w:pPr>
        <w:spacing w:after="0" w:line="90" w:lineRule="exact"/>
        <w:rPr>
          <w:sz w:val="20"/>
          <w:szCs w:val="20"/>
          <w:color w:val="auto"/>
        </w:rPr>
      </w:pPr>
    </w:p>
    <w:p>
      <w:pPr>
        <w:ind w:firstLine="509"/>
        <w:spacing w:after="0" w:line="205" w:lineRule="exact"/>
        <w:rPr>
          <w:sz w:val="20"/>
          <w:szCs w:val="20"/>
          <w:color w:val="auto"/>
        </w:rPr>
      </w:pPr>
      <w:r>
        <w:rPr>
          <w:rFonts w:ascii="Arial" w:cs="Arial" w:eastAsia="Arial" w:hAnsi="Arial"/>
          <w:sz w:val="17"/>
          <w:szCs w:val="17"/>
          <w:color w:val="auto"/>
        </w:rPr>
        <w:t>From time to time, we may disclose interim data from our clinical trials, including the preliminary data with respect to our CAM candidate, ALG-000184 and our ASO candidate ALG</w:t>
      </w:r>
      <w:r>
        <w:rPr>
          <w:rFonts w:ascii="MS PGothic" w:cs="MS PGothic" w:eastAsia="MS PGothic" w:hAnsi="MS PGothic"/>
          <w:sz w:val="17"/>
          <w:szCs w:val="17"/>
          <w:color w:val="auto"/>
        </w:rPr>
        <w:t>‑</w:t>
      </w:r>
      <w:r>
        <w:rPr>
          <w:rFonts w:ascii="Arial" w:cs="Arial" w:eastAsia="Arial" w:hAnsi="Arial"/>
          <w:sz w:val="17"/>
          <w:szCs w:val="17"/>
          <w:color w:val="auto"/>
        </w:rPr>
        <w:t>020572. Interim data from clinical trials are subject to the risk that one or more of the clinical outcomes may materially change as patient enrollment continues and more data on existing patients become available.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1" w:name="page62"/>
    <w:bookmarkEnd w:id="61"/>
    <w:p>
      <w:pPr>
        <w:ind w:firstLine="509"/>
        <w:spacing w:after="0" w:line="272"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drug candidate or our business. If the topline data that we report differ from actual results, or if others, including regulatory authorities, disagree with the conclusions reached, our ability to obtain approval for, and commercialize, our drug candidates may be harmed, which could harm our business, financial condition, operating results and prospects.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adversely affected.</w:t>
      </w:r>
    </w:p>
    <w:p>
      <w:pPr>
        <w:spacing w:after="0" w:line="138"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w:t>
      </w:r>
    </w:p>
    <w:p>
      <w:pPr>
        <w:spacing w:after="0" w:line="74"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proximity of patients to study sites;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0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drug candidate being studied in relation to other available therapies, including any new products that may be approved for the indications we are investigating;</w:t>
      </w:r>
    </w:p>
    <w:p>
      <w:pPr>
        <w:spacing w:after="0" w:line="62"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for participation in our clinical trials and, where appropriate, biopsies for future patient enrichment efforts;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remain in the trial through the completion of evaluation; and</w:t>
      </w:r>
    </w:p>
    <w:p>
      <w:pPr>
        <w:spacing w:after="0" w:line="103"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disruption by man-made or natural disasters, or public health pandemics or epidemics or other business interruptions, including the current COVID-19 pandemic and future outbreaks of the virus.</w:t>
      </w:r>
    </w:p>
    <w:p>
      <w:pPr>
        <w:spacing w:after="0" w:line="63"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In addition, our clinical trials will compete with other clinical trials for drug candidates that are in the same therapeutic areas as our current and potential future drug candidates. This competition will reduce the number and types of patients available to us, because some patients who might have enrolled in our trials may instead opt to enroll in a trial conducted by one of our competitors. Since the number of qualified clinical investigators is limited, we may conduct some of our clinical trials at the same clinical trial sites that some of our competitors use, which would reduce the number of patients who are available for our clinical trials at such sites. Moreover, because our current and potential future drug candidates may represent a departure from more commonly used methods for treatment, potential patients and their doctors may be inclined to use conventional therapies rather than enroll patients in our clinical trials.</w:t>
      </w:r>
    </w:p>
    <w:p>
      <w:pPr>
        <w:spacing w:after="0" w:line="83"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Delays in patient enrollment may result in increased costs or may affect the timing or outcome of clinical trials, which could prevent completion of these trials and adversely affect our ability to advance the development of our drug candidates.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Changes in methods of drug candidate manufacturing or formulation may result in additional costs or delay.</w:t>
      </w:r>
    </w:p>
    <w:p>
      <w:pPr>
        <w:spacing w:after="0" w:line="104"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As drug candidates proceed from nonclinical studies to late-stage clinical trials towards potential approval and commercialization, it is common that various aspects of the development program, such as manufacturing methods and formulation, are altered to optimize results. However, any change could entail additional cost and risks potential delay if the reformulated or otherwise altered drug candidate performs different than expected or intended, which could require modification to the nonclinical or clinical program. Such changes may also require additional testing, including bridging or comparability testing to demonstrate the validity of clinical data obtained in clinical trials following manufacturing changes, FDA notification or FDA approval.</w:t>
      </w:r>
    </w:p>
    <w:p>
      <w:pPr>
        <w:spacing w:after="0" w:line="51"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Moreover, we have not yet manufactured or processed on a commercial scale any of our drug candidates. We may make changes as we work to optimize our manufacturing processes, but we cannot be sure that even minor changes in our processes will result in therapies that are safe and effective or that will be approved for commercial sale.</w:t>
      </w:r>
    </w:p>
    <w:p>
      <w:pPr>
        <w:spacing w:after="0" w:line="74" w:lineRule="exact"/>
        <w:rPr>
          <w:sz w:val="20"/>
          <w:szCs w:val="20"/>
          <w:color w:val="auto"/>
        </w:rPr>
      </w:pPr>
    </w:p>
    <w:p>
      <w:pPr>
        <w:ind w:right="500"/>
        <w:spacing w:after="0" w:line="248" w:lineRule="auto"/>
        <w:rPr>
          <w:sz w:val="20"/>
          <w:szCs w:val="20"/>
          <w:color w:val="auto"/>
        </w:rPr>
      </w:pPr>
      <w:r>
        <w:rPr>
          <w:rFonts w:ascii="Arial" w:cs="Arial" w:eastAsia="Arial" w:hAnsi="Arial"/>
          <w:sz w:val="18"/>
          <w:szCs w:val="18"/>
          <w:b w:val="1"/>
          <w:bCs w:val="1"/>
          <w:i w:val="1"/>
          <w:iCs w:val="1"/>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7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Undesirable or clinically unmanageable side effects from one or more of our drug candidates or potential future products could occur and cause us or regulatory authorities to interrupt, delay or terminate clinical trials, could result in a more restrictive label or could cause the delay or denial of marketing approval by the FDA or comparable foreign regulatory authorities. Further, results of our planned clinical trials could reveal unacceptably severe and prevalent side effects or unexpected characteristics.</w:t>
      </w:r>
    </w:p>
    <w:p>
      <w:pPr>
        <w:spacing w:after="0" w:line="18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6"/>
          <w:szCs w:val="16"/>
          <w:color w:val="auto"/>
        </w:rPr>
        <w:t>If unacceptable toxicities or other undesirable side effects arise in the development of any of our current or future drug candidates, we could suspend or terminate our trials, or the FDA or comparable foreign regulatory authorities could order us to cease clinical trials or deny approval of the drug candidate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Inadequately recognizing or managing the potential side effects of our drug candidates could result in patient injury or death. Any of these occurrences may prevent us from achieving or maintaining market acceptance of the affected drug candidate and may harm our business, financial condition and prospects significantly.</w:t>
      </w:r>
    </w:p>
    <w:p>
      <w:pPr>
        <w:spacing w:after="0" w:line="189"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Although our current and future drug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To date, we have not demonstrated that any of our drug candidates are safe in humans, and we cannot predict if ongoing or future clinical trials will do so.</w:t>
      </w:r>
    </w:p>
    <w:p>
      <w:pPr>
        <w:spacing w:after="0" w:line="189"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Furthermore, we plan to evaluate our drug candidates in combination with approved and/or experimental therapies. These combinations may have additional or more severe side effects than caused by our drug candidates as monotherapies or may cause side effects at lower doses. The uncertainty resulting from the use of our drug candidates in combination with other therapies may make it difficult to accurately predict side effects in potential future clinical trials.</w:t>
      </w:r>
    </w:p>
    <w:p>
      <w:pPr>
        <w:spacing w:after="0" w:line="188"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If any of our drug candidates receives marketing approval and we or others later identify undesirable side effects caused by such products, a number of potentially significant negative consequences could occur, including:</w:t>
      </w:r>
    </w:p>
    <w:p>
      <w:pPr>
        <w:spacing w:after="0" w:line="63"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03"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3" w:name="page64"/>
    <w:bookmarkEnd w:id="63"/>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03"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(REMS) or create a Medication Guide outlining the risks of such side effects for distribution to patients;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04" w:lineRule="exact"/>
        <w:rPr>
          <w:sz w:val="20"/>
          <w:szCs w:val="20"/>
          <w:color w:val="auto"/>
        </w:rPr>
      </w:pPr>
    </w:p>
    <w:p>
      <w:pPr>
        <w:ind w:right="260" w:firstLine="509"/>
        <w:spacing w:after="0" w:line="262" w:lineRule="auto"/>
        <w:rPr>
          <w:sz w:val="20"/>
          <w:szCs w:val="20"/>
          <w:color w:val="auto"/>
        </w:rPr>
      </w:pPr>
      <w:r>
        <w:rPr>
          <w:rFonts w:ascii="Arial" w:cs="Arial" w:eastAsia="Arial" w:hAnsi="Arial"/>
          <w:sz w:val="17"/>
          <w:szCs w:val="17"/>
          <w:color w:val="auto"/>
        </w:rPr>
        <w:t>Any of the foregoing events could prevent us from achieving or maintaining market acceptance of the particular drug candidate, if approved, and result in the loss of significant revenue to us, which would adversely affect our business, financial condition, results of operations and prospects. In addition, if one or more of our drug candidates prove to be unsafe, our entire technology platform and pipeline could be affected, which would have a material adverse effect on our business, financial condition, results of operations and prospects.</w:t>
      </w:r>
    </w:p>
    <w:p>
      <w:pPr>
        <w:spacing w:after="0" w:line="64"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Even if we complete the necessary nonclinical studies and clinical trials, the marketing approval process is expensive, time-consuming and uncertain and may prevent us or any of our future collaboration partners from obtaining approvals for the commercialization of our current drug candidates and any other drug candidate we develop.</w:t>
      </w:r>
    </w:p>
    <w:p>
      <w:pPr>
        <w:spacing w:after="0" w:line="7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Any current or future drug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drug candidate will prevent us from commercializing the drug candidate in a given jurisdiction. We have not received approval to market any drug candidates from regulatory authorities in any jurisdiction and it is possible that none of our current or future drug candidates will ever obtain regulatory approval. As an organization, we have no experience in filing and supporting the applications necessary to gain marketing approvals and expect to rely on third-party CROs or regulatory consultants to assist us in this process. Securing regulatory approval requires the submission of extensive nonclinical and clinical data and supporting information to the various regulatory authorities for each therapeutic indication to establish the drug candidate’s safety and efficacy. Securing regulatory approval also requires the submission of information about the product manufacturing process to, and inspection of manufacturing facilities by, the relevant regulatory authority. Any drug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83" w:lineRule="exact"/>
        <w:rPr>
          <w:sz w:val="20"/>
          <w:szCs w:val="20"/>
          <w:color w:val="auto"/>
        </w:rPr>
      </w:pPr>
    </w:p>
    <w:p>
      <w:pPr>
        <w:ind w:right="80" w:firstLine="509"/>
        <w:spacing w:after="0" w:line="272" w:lineRule="auto"/>
        <w:rPr>
          <w:sz w:val="20"/>
          <w:szCs w:val="20"/>
          <w:color w:val="auto"/>
        </w:rPr>
      </w:pPr>
      <w:r>
        <w:rPr>
          <w:rFonts w:ascii="Arial" w:cs="Arial" w:eastAsia="Arial" w:hAnsi="Arial"/>
          <w:sz w:val="16"/>
          <w:szCs w:val="16"/>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nonclinical, clinical or other studies. In addition, varying interpretations of the data obtained from nonclinical and clinical testing could delay, limit, or prevent marketing approval of a drug candidate. Any marketing approval we ultimately obtain may be limited or subject to restrictions or post-approval commitments that render the approved product not commercially viable.</w:t>
      </w:r>
    </w:p>
    <w:p>
      <w:pPr>
        <w:spacing w:after="0" w:line="168" w:lineRule="exact"/>
        <w:rPr>
          <w:sz w:val="20"/>
          <w:szCs w:val="20"/>
          <w:color w:val="auto"/>
        </w:rPr>
      </w:pPr>
    </w:p>
    <w:p>
      <w:pPr>
        <w:ind w:right="120" w:firstLine="509"/>
        <w:spacing w:after="0" w:line="291" w:lineRule="auto"/>
        <w:rPr>
          <w:sz w:val="20"/>
          <w:szCs w:val="20"/>
          <w:color w:val="auto"/>
        </w:rPr>
      </w:pPr>
      <w:r>
        <w:rPr>
          <w:rFonts w:ascii="Arial" w:cs="Arial" w:eastAsia="Arial" w:hAnsi="Arial"/>
          <w:sz w:val="17"/>
          <w:szCs w:val="17"/>
          <w:color w:val="auto"/>
        </w:rPr>
        <w:t>If we experience delays in obtaining marketing approval or if we fail to obtain marketing approval of any current or future drug candidates we may develop, the commercial prospects for those drug candidates may be harmed, and our ability to generate revenues will be materially impaired.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4" w:name="page65"/>
    <w:bookmarkEnd w:id="64"/>
    <w:p>
      <w:pPr>
        <w:ind w:right="100"/>
        <w:spacing w:after="0" w:line="261" w:lineRule="auto"/>
        <w:rPr>
          <w:sz w:val="20"/>
          <w:szCs w:val="20"/>
          <w:color w:val="auto"/>
        </w:rPr>
      </w:pPr>
      <w:r>
        <w:rPr>
          <w:rFonts w:ascii="Arial" w:cs="Arial" w:eastAsia="Arial" w:hAnsi="Arial"/>
          <w:sz w:val="18"/>
          <w:szCs w:val="18"/>
          <w:b w:val="1"/>
          <w:bCs w:val="1"/>
          <w:i w:val="1"/>
          <w:iCs w:val="1"/>
          <w:color w:val="auto"/>
        </w:rPr>
        <w:t>Even if a current or future drug candidate receives marketing approval, it may fail to achieve the degree of market acceptance by physicians, patients, third-party payors and others in the medical community necessary for commercial success.</w:t>
      </w:r>
    </w:p>
    <w:p>
      <w:pPr>
        <w:spacing w:after="0" w:line="63"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If any current or future drug candidate we develop receives marketing approval, whether as a single agent or in combination with other therapies, it may nonetheless fail to gain sufficient market acceptance by physicians, patients, third-party payors, and others in the medical community, or such participants may prefer existing treatment options such as nucleos(t)ide analogs including tenofovir and entecavir. If the drug candidates we develop do not achieve an adequate level of acceptance, we may not generate significant product revenues and we may not become profitable. The degree of market acceptance of any drug candidate, if approved for commercial sale, will depend on a number of factors, including:</w:t>
      </w:r>
    </w:p>
    <w:p>
      <w:pPr>
        <w:spacing w:after="0" w:line="66"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0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including with respect to the use of the approved product as a combination therapy;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adoption of a companion diagnostic and/or complementary diagnostic (if any);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32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Adverse events in our therapeutic areas of focus, including hepatological indications and viral diseases, could damage public perception of our current or future drug candidates and negatively affect our business.</w:t>
      </w:r>
    </w:p>
    <w:p>
      <w:pPr>
        <w:spacing w:after="0" w:line="63"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commercial success of our products will depend in part on public acceptance of our therapeutic areas of focus. Adverse events in clinical trials of our drug candidates, or post-marketing activities, or in clinical trials of others developing similar products or targeting similar indications and the resulting publicity, as well as any other adverse events in our therapeutic areas of focus, including hepatological indications and viral diseases, could result in decreased demand for any product that we may develop. If public perception is influenced by claims that the use of therapies in our therapeutic areas of focus are unsafe, whether related to our therapies or those of our competitors, our products may not be accepted by the general public or the medical community.</w:t>
      </w:r>
    </w:p>
    <w:p>
      <w:pPr>
        <w:spacing w:after="0" w:line="81" w:lineRule="exact"/>
        <w:rPr>
          <w:sz w:val="20"/>
          <w:szCs w:val="20"/>
          <w:color w:val="auto"/>
        </w:rPr>
      </w:pPr>
    </w:p>
    <w:p>
      <w:pPr>
        <w:ind w:right="40" w:firstLine="509"/>
        <w:spacing w:after="0" w:line="294" w:lineRule="auto"/>
        <w:rPr>
          <w:sz w:val="20"/>
          <w:szCs w:val="20"/>
          <w:color w:val="auto"/>
        </w:rPr>
      </w:pPr>
      <w:r>
        <w:rPr>
          <w:rFonts w:ascii="Arial" w:cs="Arial" w:eastAsia="Arial" w:hAnsi="Arial"/>
          <w:sz w:val="16"/>
          <w:szCs w:val="16"/>
          <w:color w:val="auto"/>
        </w:rPr>
        <w:t>Future adverse events in our therapeutic areas of focus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drug candidates we have developed, are developing and may in the future develop.</w:t>
      </w:r>
    </w:p>
    <w:p>
      <w:pPr>
        <w:spacing w:after="0" w:line="39" w:lineRule="exact"/>
        <w:rPr>
          <w:sz w:val="20"/>
          <w:szCs w:val="20"/>
          <w:color w:val="auto"/>
        </w:rPr>
      </w:pPr>
    </w:p>
    <w:p>
      <w:pPr>
        <w:ind w:right="680"/>
        <w:spacing w:after="0" w:line="291" w:lineRule="auto"/>
        <w:rPr>
          <w:sz w:val="20"/>
          <w:szCs w:val="20"/>
          <w:color w:val="auto"/>
        </w:rPr>
      </w:pPr>
      <w:r>
        <w:rPr>
          <w:rFonts w:ascii="Arial" w:cs="Arial" w:eastAsia="Arial" w:hAnsi="Arial"/>
          <w:sz w:val="17"/>
          <w:szCs w:val="17"/>
          <w:b w:val="1"/>
          <w:bCs w:val="1"/>
          <w:i w:val="1"/>
          <w:iCs w:val="1"/>
          <w:color w:val="auto"/>
        </w:rPr>
        <w:t>Negative developments and negative public opinion of technologies on which we rely may damage public perception of our drug candidates or adversely affect our ability to conduct our business or obtain regulatory approvals for our drug candidates.</w:t>
      </w:r>
    </w:p>
    <w:p>
      <w:pPr>
        <w:spacing w:after="0" w:line="3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clinical and commercial success of our drug candidates will depend in part on public acceptance of the use of technologies for the prevention or treatment of human diseases. Adverse public attitudes may adversely impact our ability to enroll clinical trials. Moreover, our success will depend upon physicians specializing in our targeted diseases prescribing, and their patients being willing to receive, our drug candidates as treatments in lieu of, or in addition to, existing, more familiar, treatments for which greater clinical data may be available. Any increase in negative perceptions of the technologies that we rely on may result in fewer physicians prescribing our products (if approved) or may reduce the willingness of patients to utilize our products or participate in clinical trials for our drug candidates.</w:t>
      </w:r>
    </w:p>
    <w:p>
      <w:pPr>
        <w:spacing w:after="0" w:line="81"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Increased negative public opinion or more restrictive government regulations in response thereto, would have a negative effect on our business, financial condition, results of operations or prospects and may delay or impair the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65" w:name="page66"/>
    <w:bookmarkEnd w:id="65"/>
    <w:p>
      <w:pPr>
        <w:ind w:right="20"/>
        <w:spacing w:after="0" w:line="279" w:lineRule="auto"/>
        <w:rPr>
          <w:sz w:val="20"/>
          <w:szCs w:val="20"/>
          <w:color w:val="auto"/>
        </w:rPr>
      </w:pPr>
      <w:r>
        <w:rPr>
          <w:rFonts w:ascii="Arial" w:cs="Arial" w:eastAsia="Arial" w:hAnsi="Arial"/>
          <w:sz w:val="16"/>
          <w:szCs w:val="16"/>
          <w:color w:val="auto"/>
        </w:rPr>
        <w:t>development and commercialization of our drug candidates or demand for such drug candidates. Adverse events in our nonclinical studies or clinical trials or those of our competitors or of academic researchers utilizing similar technologies, even if not ultimately attributable to drug candidates we may discover and develop, and the resulting publicity could result in increased governmental regulation, unfavorable public perception, potential regulatory delays in the testing or approval of potential drug candidates we may identify and develop, stricter labeling requirements for those drug candidates that are approved, a decrease in demand for any such drug candidates and a suspension or withdrawal of approval by regulatory authorities of our drug candidates.</w:t>
      </w:r>
    </w:p>
    <w:p>
      <w:pPr>
        <w:spacing w:after="0" w:line="51"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Even if we receive marketing approval of a drug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7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Any marketing approvals that we receive for any current or future drug candidate may be subject to limitations on the approved indicated uses for which the product may be marketed or contain requirements for potentially costly post-market testing and surveillance to monitor the safety and efficacy of the drug candidate. The FDA may also require a REMS as a condition of approval of any drug candidate, which could include requirements for a Medication Guide, physician communication plans or additional elements to ensure safe use, such as restricted distribution methods, patient registries and other risk-minimization tools. In addition, if the FDA or a comparable foreign regulatory authority approves a drug candidate, the manufacturing processes, labeling, packaging, distribution, adverse event reporting, storage, advertising, promotion, import and export and record keeping for the product will be subject to extensive and ongoing regulatory requirements. These requirements include submissions of safety and other post-marketing information and reports, establishment registration, as well as continued compliance with current Good Manufacturing Practice, or cGMP, and Good Clinical Practice, or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p>
    <w:p>
      <w:pPr>
        <w:spacing w:after="0" w:line="78"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product recalls;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untitled and warning letters, or holds on clinical trials;</w:t>
      </w:r>
    </w:p>
    <w:p>
      <w:pPr>
        <w:spacing w:after="0" w:line="103"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by the FDA or other regulatory authorities to approve pending applications or supplements to approved applications we filed or suspension or revocation of license approvals;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the product;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0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profitability.</w:t>
      </w:r>
    </w:p>
    <w:p>
      <w:pPr>
        <w:spacing w:after="0" w:line="8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Even if we obtain and maintain approval for our drug candidates from the FDA, we may never obtain approval outside the United States, which would limit our market opportunities.</w:t>
      </w:r>
    </w:p>
    <w:p>
      <w:pPr>
        <w:spacing w:after="0" w:line="63" w:lineRule="exact"/>
        <w:rPr>
          <w:sz w:val="20"/>
          <w:szCs w:val="20"/>
          <w:color w:val="auto"/>
        </w:rPr>
      </w:pPr>
    </w:p>
    <w:p>
      <w:pPr>
        <w:ind w:right="80" w:firstLine="509"/>
        <w:spacing w:after="0" w:line="254" w:lineRule="auto"/>
        <w:rPr>
          <w:sz w:val="20"/>
          <w:szCs w:val="20"/>
          <w:color w:val="auto"/>
        </w:rPr>
      </w:pPr>
      <w:r>
        <w:rPr>
          <w:rFonts w:ascii="Arial" w:cs="Arial" w:eastAsia="Arial" w:hAnsi="Arial"/>
          <w:sz w:val="17"/>
          <w:szCs w:val="17"/>
          <w:color w:val="auto"/>
        </w:rPr>
        <w:t>Approval of a drug candidate in the United States by the FDA does not ensure approval of such drug candidate by regulatory authorities in other countries or jurisdictions, and approval by one foreign regulatory authority does not ensure approval by regulatory authorities in other foreign countries. Sales of our drug candidates outside the United States will be subject to foreign regulatory requirements governing clinical trials and marketing approval. Even if the FDA grants marketing approval for a drug candidate, comparable foreign regulatory authorities also must approve the manufacturing and marketing of the drug candidate in those countries. Approval procedures vary among jurisdictions and can involve requirements and administrative review periods different from, and more onerous than, those in the United States, including additional nonclinical studies or clinical trials. In many countries outside the United States, a drug candidate must be approved for reimbursement before it can be approved for sale in that country. In some cases, the price that we intend to charge for any drug candidates, if approved, is also subject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6" w:name="page67"/>
    <w:bookmarkEnd w:id="66"/>
    <w:p>
      <w:pPr>
        <w:ind w:right="60"/>
        <w:spacing w:after="0" w:line="255" w:lineRule="auto"/>
        <w:rPr>
          <w:sz w:val="20"/>
          <w:szCs w:val="20"/>
          <w:color w:val="auto"/>
        </w:rPr>
      </w:pPr>
      <w:r>
        <w:rPr>
          <w:rFonts w:ascii="Arial" w:cs="Arial" w:eastAsia="Arial" w:hAnsi="Arial"/>
          <w:sz w:val="17"/>
          <w:szCs w:val="17"/>
          <w:color w:val="auto"/>
        </w:rPr>
        <w:t>approval. Obtaining approval for our drug candidates in the European Union (the EU) from the European Commission following the opinion of the EMA, if we choose to submit a marketing authorization application there, would be a lengthy and expensive process. Even if a drug candidate is approved, the EMA may limit the indications for which the product may be marketed, require extensive warnings on the product labeling or require expensive and time-consuming additional clinical trials or reporting as conditions of approval. Approval of certain drug candidates outside of the United States, particularly those that target diseases that are more prevalent outside of the United States, will be particularly important to the commercial success of such drug candidates. Obtaining foreign regulatory approvals and compliance with foreign regulatory requirements could result in significant delays, difficulties and costs for us and could delay or prevent the introduction of our drug candidates in certain countries.</w:t>
      </w:r>
    </w:p>
    <w:p>
      <w:pPr>
        <w:spacing w:after="0" w:line="72"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Further, clinical trials conducted in one country may not be accepted by regulatory authorities in other countries. For example, we are conducting our initial clinical trials for ALG-000184 and ALG-020572 in many countries, ALG-000184 in New Zealand, Hong Kong, the United Kingdom, South Korea, China and Moldova and ALG-020572 in New Zealand, and plan to conduct additional clinical trials in several other countries and territories within the Asia Pacific and/or Europe and our conduct of the trials must satisfy specific requirements in order for the FDA to accept the data in support of an IND or NDA in the United States. Further, any regulatory approval for our drug candidates may be withdrawn. If we fail to comply with the applicable regulatory requirements, our target market will be reduced and our ability to realize the full market potential of our drug candidates will be harmed and our business, financial condition, results of operations and prospects could be harmed.</w:t>
      </w:r>
    </w:p>
    <w:p>
      <w:pPr>
        <w:spacing w:after="0" w:line="72"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b w:val="1"/>
          <w:bCs w:val="1"/>
          <w:i w:val="1"/>
          <w:iCs w:val="1"/>
          <w:color w:val="auto"/>
        </w:rPr>
        <w:t>Risks associated with our international operations, including seeking and obtaining approval to commercialize our drug candidates in foreign jurisdictions, could harm our business.</w:t>
      </w:r>
    </w:p>
    <w:p>
      <w:pPr>
        <w:spacing w:after="0" w:line="63"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We engage in international operations with offices in the United States, Belgium and China and intend to seek approval to market our drug candidates outside of the United States. We may also do so for future drug candidates. We expect that we are or will be subject to additional risks related to these international business markets and relationships, including:</w:t>
      </w:r>
    </w:p>
    <w:p>
      <w:pPr>
        <w:spacing w:after="0" w:line="74" w:lineRule="exact"/>
        <w:rPr>
          <w:sz w:val="20"/>
          <w:szCs w:val="20"/>
          <w:color w:val="auto"/>
        </w:rPr>
      </w:pPr>
    </w:p>
    <w:p>
      <w:pPr>
        <w:ind w:left="1020" w:right="60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 candidates in foreign countries, including challenging processes for marketing biopharmaceutical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protection for and enforcement of intellectual property rights;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heightened or different data privacy and information security laws, regulations and policies;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03"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w:t>
      </w:r>
    </w:p>
    <w:p>
      <w:pPr>
        <w:spacing w:after="0" w:line="10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disruptions resulting from the impact of public health pandemics or epidemics (including, for example, the ongoing COVID-19 pandemic).</w:t>
      </w:r>
    </w:p>
    <w:p>
      <w:pPr>
        <w:spacing w:after="0" w:line="127"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In addition, there are complex regulatory, tax, labor and other legal requirements imposed by many of the individual countries in which we may operate, with which we will need to comply.</w:t>
      </w:r>
    </w:p>
    <w:p>
      <w:pPr>
        <w:spacing w:after="0" w:line="6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could otherwise prevent</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67" w:name="page68"/>
    <w:bookmarkEnd w:id="67"/>
    <w:p>
      <w:pPr>
        <w:spacing w:after="0"/>
        <w:rPr>
          <w:sz w:val="20"/>
          <w:szCs w:val="20"/>
          <w:color w:val="auto"/>
        </w:rPr>
      </w:pPr>
      <w:r>
        <w:rPr>
          <w:rFonts w:ascii="Arial" w:cs="Arial" w:eastAsia="Arial" w:hAnsi="Arial"/>
          <w:sz w:val="15"/>
          <w:szCs w:val="15"/>
          <w:b w:val="1"/>
          <w:bCs w:val="1"/>
          <w:i w:val="1"/>
          <w:iCs w:val="1"/>
          <w:color w:val="auto"/>
        </w:rPr>
        <w:t>new or modified products from being developed, approved or commercialized in a timely manner or at all, which could negatively impact our business.</w:t>
      </w:r>
    </w:p>
    <w:p>
      <w:pPr>
        <w:spacing w:after="0" w:line="13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Disruptions at the FDA and other agencies may also slow the time necessary for new products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83"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Relatedly, in response to the COVID-19 pandemic, on March 10,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mission-critical inspections to resumption of all regulatory activities. According to the guidance, the FDA may request such remote interactive evaluations where the FDA determines that remote evaluation would be appropriate based on mission needs and travel limitations. In May 2021, the FDA outlined a detailed plan to move toward a more consistent state of inspectional operations, and in July 2021, the FDA resumed standard inspectional operations of domestic facilities and was continuing to maintain this level of operation as of September 2021. More recently, the FDA has continued to monitor and implement changes to its inspectional activities to ensure the safety of its employees and those of the firms it regulates as it adapts to the evolving COVID-19 pandemic. Regulatory authorities outside the United States may adopt similar restrictions or other policy measures in response to events such as the COVID-19 pandemic. If a prolonged government shutdown occurs, or if global health concerns continue to prevent the FDA or other regulatory authorities from conducting their regular inspections, reviews, or other regulatory activities, it could significantly impair the ability of the FDA or other regulatory authorities to timely review and process our regulatory submissions, which could have a material adverse effect on our business.</w:t>
      </w:r>
    </w:p>
    <w:p>
      <w:pPr>
        <w:spacing w:after="0" w:line="8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If the market opportunities for our drug candidates are smaller than we believe or any approval we obtain is based on a narrower definition of the patient population, our business may suffer.</w:t>
      </w:r>
    </w:p>
    <w:p>
      <w:pPr>
        <w:spacing w:after="0" w:line="63"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We currently focus our product development on novel therapeutics to address unmet needs in hepatological indications and viral diseases. Our eligible patient population, pricing estimates and available coverage and reimbursement may differ significantly from the actual market addressable by our drug candidates. Our estimates of both the number of people who have these diseases, as well as the subset of people with these diseases who have the potential to benefit from treatment with our drug candidates, are based on our beliefs and analyses based on a variety of sources, including scientific literature, patient foundations or market research, and may prove to be incorrect. Further, new studies may change the estimated incidence or prevalence of the diseases we are targeting. The number of patients may turn out to be lower than expected, and the potentially addressable patient population for each of our drug candidates may be limited or may not be receptive to treatment with our drug candidates, and new patients may become increasingly difficult to identify or access. Certain potential patients may have or develop a resistance to our potential therapies or otherwise be unable to be treated with our potential therapies for COVID-19, HBV or other viral diseases as a result of their genetic makeup. In addition, the route of administration for our potential therapies could be inconvenient and/or not commercially viable, which could also limit the potential market for our therapies. If the market opportunities for our drug candidates are smaller than we estimate, it could have an adverse effect on our business, financial condition, results of operations and prospects.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68" w:name="page69"/>
    <w:bookmarkEnd w:id="68"/>
    <w:p>
      <w:pPr>
        <w:ind w:right="20" w:firstLine="509"/>
        <w:spacing w:after="0" w:line="238" w:lineRule="auto"/>
        <w:rPr>
          <w:sz w:val="20"/>
          <w:szCs w:val="20"/>
          <w:color w:val="auto"/>
        </w:rPr>
      </w:pPr>
      <w:r>
        <w:rPr>
          <w:rFonts w:ascii="Arial" w:cs="Arial" w:eastAsia="Arial" w:hAnsi="Arial"/>
          <w:sz w:val="18"/>
          <w:szCs w:val="18"/>
          <w:color w:val="auto"/>
        </w:rPr>
        <w:t>For example, we believe NASH to be one of the most prevalent chronic liver diseases worldwide, however, our projections of the number of people who have NASH, as well as the subset of people with the disease who have the potential to benefit from treatment with our drug candidates, are based on our beliefs and estimates. The effort to identify patients with NASH is in early stages, and we cannot accurately predict the number of patients for whom treatment might be possible. NASH is often undiagnosed and may be left undiagnosed for a long time, partly because a definitive diagnosis of NASH is currently based on a histological assessment of a liver biopsy, which impairs the ability to easily identify patients. If improved diagnostic techniques for identifying NASH patients who will benefit from treatment are not developed, our market opportunity may be smaller than we currently anticipate. Further, if government authorities and third-party payors choose to limit coverage and reimbursement of our NASH drug candidate, such as limiting the number of patients’ treatment that would be covered and reimbursable, this could result in a smaller market opportunity for our NASH drug candidate than we anticipate.</w:t>
      </w:r>
    </w:p>
    <w:p>
      <w:pPr>
        <w:spacing w:after="0" w:line="83"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In addition, the number of people who have HBV, as well as the subset of people with the disease who have the potential to benefit from treatment with our drug candidates, may be reduced due to factors including the genotype or variant of HBV, more widespread use of vaccines or alternative therapies, political roadblocks to approval and/or treatment in certain countries and the virus’s development of resistance to our potential treatments after long-term and persistent exposure to antiviral therapy.</w:t>
      </w:r>
    </w:p>
    <w:p>
      <w:pPr>
        <w:spacing w:after="0" w:line="8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We intend to develop our current drug candidates, and expect to develop other future drug candidates, in combination with other therapies, which exposes us to additional risks.</w:t>
      </w:r>
    </w:p>
    <w:p>
      <w:pPr>
        <w:spacing w:after="0" w:line="63"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We intend to develop our current drug candidates, and expect to develop other future drug candidates, in combination with one or more therapies, including therapies that we develop and those developed externally. Even if a drug candidate we develop were to receive marketing approval or be commercialized for use in combination with other therapies, we would face the risk that the FDA or similar regulatory authority outside of the United States could revoke approval of the therapy used in combination with our drug candidate or that safety, efficacy, manufacturing or supply issues could arise with these other therapies. Combination therapies are commonly used for the treatment of viral diseases and it is generally believed they will be required for NASH, and we would be subject to similar risks if we develop any of our drug candidates for use in combination with other drugs. This could result in our own products, if approved, being removed from the market or suffering commercially. In addition, we may evaluate our current drug candidates and other future drug candidates in combination with one or more other therapies that may have not yet been approved for marketing by the FDA or similar regulatory authorities outside of the United States. We will not be able to market and sell any drug candidate we develop in combination with any such unapproved therapies that do not ultimately obtain marketing approval.</w:t>
      </w:r>
    </w:p>
    <w:p>
      <w:pPr>
        <w:spacing w:after="0" w:line="59" w:lineRule="exact"/>
        <w:rPr>
          <w:sz w:val="20"/>
          <w:szCs w:val="20"/>
          <w:color w:val="auto"/>
        </w:rPr>
      </w:pPr>
    </w:p>
    <w:p>
      <w:pPr>
        <w:ind w:right="180" w:firstLine="509"/>
        <w:spacing w:after="0" w:line="224" w:lineRule="auto"/>
        <w:rPr>
          <w:sz w:val="20"/>
          <w:szCs w:val="20"/>
          <w:color w:val="auto"/>
        </w:rPr>
      </w:pPr>
      <w:r>
        <w:rPr>
          <w:rFonts w:ascii="Arial" w:cs="Arial" w:eastAsia="Arial" w:hAnsi="Arial"/>
          <w:sz w:val="18"/>
          <w:szCs w:val="18"/>
          <w:color w:val="auto"/>
        </w:rPr>
        <w:t>If the FDA or similar regulatory authorities outside of the United States do not approve these other drugs or revoke their approval of, or if safety, efficacy, manufacturing, or supply issues arise with, the drugs we choose to evaluate in combination with or any of our drug candidate, we may be unable to obtain approval of or market any of our combination treatments.</w:t>
      </w:r>
    </w:p>
    <w:p>
      <w:pPr>
        <w:spacing w:after="0" w:line="55"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67"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of.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drug candidates that we develop obsolete. Further, mergers and acquisitions in the pharmaceutical and biotechnology industries may result in even more resources being concentrated among a smaller number of our competitors. As a result of all of these factors, our competitors may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color w:val="auto"/>
        </w:rPr>
        <w:t>succeed in obtaining patent protection and/or marketing approval or discovering, developing and commercializing products in our field before we do.</w:t>
      </w:r>
    </w:p>
    <w:p>
      <w:pPr>
        <w:spacing w:after="0" w:line="115"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There are a number of companies developing or marketing treatments for CHB, including Roche Holding AG (Roche), Gilead, Bristol-Myers Squibb Company, Arbutus Biopharma Corporation, Dicerna Pharmaceuticals, Inc. (together with Roche), Ionis Pharmaceuticals, Inc. (together with GSK), Arrowhead Pharmaceuticals, Inc. (together with Janssen Pharmaceuticals Company (Janssen)), Vir Biotechnology, Inc. (together with Alnylam Pharmaceuticals, Inc.), Johnson &amp; Johnson, Assembly Biosciences Inc., Enanta Pharmaceuticals, Altimmune, Inc., GSK, Janssen, Transgene SA, Dynavax Technologies, Inc., Merck and Replicor, Inc. There are also companies developing or marketing treatments or vaccines for COVID-19, including Soliris by Alexion Pharmaceuticals Inc., Atea Pharmaceuticals, Inc. (together with Roche), Jakafi by Incyte Corporation, Kevzara by Sanofi S.A./Regeneron Pharmaceuticals, Inc., Amgen Inc. (together with Adaptive Biotechnologies Corporation), AbCellera Biologics, Inc. (together with Eli Lilly and Company), Vir Biotechnology, Inc. (together with GSK, Biogen Inc. and WuXi Biologics Ltd.), Altimmune, Inc., AstraZeneca PLC (together with Oxford University), BioNTech SE (together with Pfizer Inc.), GlaxoSmithKline plc (GSK) (together with Sanofi S.A.), Heat Biologics, Inc., Inovio Pharmaceuticals, Inc., Johnson &amp; Johnson, Moderna, Inc., Novavax, Inc., Regeneron Pharmaceuticals Inc., Vaxart, Inc., Enanta Pharmaceuticals, Novartis and Shionogi &amp; Co., Ltd. For example, BioNTech SE (together with Pfizer Inc.), Janssen Pharmaceutical Companies of Johnson &amp; Johnson and Moderna Inc. have developed COVID-19 vaccines that have received authorization for emergency use and/or regulatory approval are being widely administered. In addition, on December 22, 2021, Pfizer, Inc. received an emergency use authorization from the FDA for Paxlovid, an orally administered COVID-19 protease inhibitor. Similarly, Merck (together with Ridgeback Bio) is developing the drug Molnupiravir, an oral antiviral drug which similarly has been issued an emergency use authorization by the FDA on December 23, 2021.The availability of such COVID-19 vaccines and each of Pfizer’s and Merck’s oral COVID-19 drug may reduce or eliminate the need for our potential COVID therapies to treat the disease and therefore negatively impact the commercial opportunity therefor.</w:t>
      </w:r>
    </w:p>
    <w:p>
      <w:pPr>
        <w:spacing w:after="0" w:line="75"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Furthermore, there are companies developing or marketing treatments for NASH, including AbbVie, Inc., AstraZeneca PLC/MedImmune LLC, Bristol-Myers Squibb Company, Eli Lilly and Company, FronThera US Pharmaceuticals LLC, Janssen, Merck, Novartis Pharmaceuticals Corporation (together with Pfizer, Inc.), Novo Nordisk A/S, Pfizer Inc., Roche, Sanofi S.A., Takeda Pharmaceutical Company Limited (together with HemoShear Therapeutics, LLC), 89bio, Inc., Akero Therapeutics, Inc., Blade Therapeutics, Inc., Cirius Therapeutics, Inc., Enanta Pharmaceuticals, Inc., Galectin Therapeutics Inc., Galmed Pharmaceuticals Ltd., Genfit SA, Gilead, Intercept Pharmaceuticals, Inc., Inventiva Pharma SA, Madrigal Pharmaceuticals, Inc., MediciNova, Inc., NGM Biopharmaceuticals, Inc., Pliant Therapeutics, Inc. (together with Novartis), Terns Pharmaceuticals, Inc. and Viking Therapeutics, Inc.</w:t>
      </w:r>
    </w:p>
    <w:p>
      <w:pPr>
        <w:spacing w:after="0" w:line="83"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effects, are more convenient, have a broader label, are marketed more effectively, including gaining exclusivity for their competing products on formularies thereby excluding our products from such formularies, are reimbursed or are less expensive than any products that we may develop. Our competitors also may obtain FDA, EMA or other marketing approval for their products more rapidly than we may obtain approval for ours (if at all), which could result in our competitors establishing a strong market position before we are able to enter the market (if ever). Even if the drug candidates we develop achieve marketing approval, they may be priced at a significant premium over competitive products, resulting in reduced competitiveness of our products.</w:t>
      </w:r>
    </w:p>
    <w:p>
      <w:pPr>
        <w:spacing w:after="0" w:line="83"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Smaller and other early stage companies may also prove to be significant competitors. In addition, academic research departments and public and private research institutions may be conducting research on compounds that could prove to be competitive.</w:t>
      </w:r>
    </w:p>
    <w:p>
      <w:pPr>
        <w:spacing w:after="0" w:line="63"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These third parties compete with us not only in drug candidate development, but also in recruiting and retaining qualified scientific and management personnel, establishing clinical trial sites and patient registration for clinical trials, as well as in acquiring and/or licensing technologies complementary to, or necessary for, our programs.</w:t>
      </w:r>
    </w:p>
    <w:p>
      <w:pPr>
        <w:spacing w:after="0" w:line="74" w:lineRule="exact"/>
        <w:rPr>
          <w:sz w:val="20"/>
          <w:szCs w:val="20"/>
          <w:color w:val="auto"/>
        </w:rPr>
      </w:pPr>
    </w:p>
    <w:p>
      <w:pPr>
        <w:jc w:val="both"/>
        <w:ind w:right="320" w:firstLine="509"/>
        <w:spacing w:after="0" w:line="270" w:lineRule="auto"/>
        <w:rPr>
          <w:sz w:val="20"/>
          <w:szCs w:val="20"/>
          <w:color w:val="auto"/>
        </w:rPr>
      </w:pPr>
      <w:r>
        <w:rPr>
          <w:rFonts w:ascii="Arial" w:cs="Arial" w:eastAsia="Arial" w:hAnsi="Arial"/>
          <w:sz w:val="17"/>
          <w:szCs w:val="17"/>
          <w:color w:val="auto"/>
        </w:rPr>
        <w:t>In addition, the biopharmaceutical industry is characterized by rapid technological change. If we fail to keep pace with technological change, we may be unable to compete effectively. Technological advances or products developed by our competitors may render our drug candidates obsolete, less competitive or not economical, thereby adversely affecting our business, financial condition and results of operations.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0" w:name="page71"/>
    <w:bookmarkEnd w:id="70"/>
    <w:p>
      <w:pPr>
        <w:ind w:right="60"/>
        <w:spacing w:after="0" w:line="261" w:lineRule="auto"/>
        <w:rPr>
          <w:sz w:val="20"/>
          <w:szCs w:val="20"/>
          <w:color w:val="auto"/>
        </w:rPr>
      </w:pPr>
      <w:r>
        <w:rPr>
          <w:rFonts w:ascii="Arial" w:cs="Arial" w:eastAsia="Arial" w:hAnsi="Arial"/>
          <w:sz w:val="18"/>
          <w:szCs w:val="18"/>
          <w:b w:val="1"/>
          <w:bCs w:val="1"/>
          <w:i w:val="1"/>
          <w:iCs w:val="1"/>
          <w:color w:val="auto"/>
        </w:rPr>
        <w:t>If any of our current or future drug candidates obtain regulatory approval, additional competitors could enter the market with generic versions of such products, which may result in a material decline in sales of our competing products.</w:t>
      </w:r>
    </w:p>
    <w:p>
      <w:pPr>
        <w:spacing w:after="0" w:line="63"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Under the Drug Price Competition and Patent Term Restoration Act of 1984, or the Hatch-Waxman Amendments to the Federal Food, Drug, and Cosmetic Act (the FDCA), a pharmaceutical manufacturer may file an abbreviated new drug application (an ANDA) seeking approval of a generic version of an approved innovator product. Under the Hatch-Waxman Amendments, a manufacturer may also submit an NDA under section 505(b)(2) of the FDCA that references the FDA’s prior approval of the innovator product.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a product, a generic or 505(b)(2) applicant that seeks to market its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183"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Accordingly, if any of our future drug candidates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66"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We may not be successful in securing or maintaining proprietary patent protection for products and technologies we develop or license,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its sales would likely decline rapidly and materially.</w:t>
      </w:r>
    </w:p>
    <w:p>
      <w:pPr>
        <w:spacing w:after="0" w:line="64"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b w:val="1"/>
          <w:bCs w:val="1"/>
          <w:i w:val="1"/>
          <w:iCs w:val="1"/>
          <w:color w:val="auto"/>
        </w:rPr>
        <w:t>Even if we are able to commercialize any drug candidates, such products may become subject to unfavorable pricing regulations or third-party coverage and reimbursement policies, which would harm our business.</w:t>
      </w:r>
    </w:p>
    <w:p>
      <w:pPr>
        <w:spacing w:after="0" w:line="63"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potentially to the point of unviability. Adverse pricing limitations may hinder our ability to recoup our investment in one or more drug candidates, even if our drug candidates obtain marketing approval.</w:t>
      </w:r>
    </w:p>
    <w:p>
      <w:pPr>
        <w:spacing w:after="0" w:line="72"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Our ability to successfully commercialize any drug candidates, whether as a single agent or in combination, will also depend in part on the extent to which coverage and reimbursement for these drug candidates and related treatments is available from government 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may decide with respect to coverage and reimbursement for our programs (if approved).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1" w:name="page72"/>
    <w:bookmarkEnd w:id="71"/>
    <w:p>
      <w:pPr>
        <w:ind w:firstLine="509"/>
        <w:spacing w:after="0" w:line="253"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particularly in the European Union, and third-party payors have attempted to control costs by limiting coverage and the amount of reimbursement for particular products and requiring substitutions of generic products and/or biosimilars. Increasingly, third-party payors are scrutinizing the prices charged for drugs. We cannot be sure that coverage will be available for any drug candidate that we commercialize and, if coverage is available, the level of reimbursement. These government authorities and third-party payors are also examining the cost-effectiveness of drugs, in addition to their safety and efficacy. For example, in some countries, we, or any future collaborators, may be required to conduct a clinical trial that compares the cost-effectiveness of our drug to other therapies to obtain reimbursement or pricing approval.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76" w:lineRule="exact"/>
        <w:rPr>
          <w:sz w:val="20"/>
          <w:szCs w:val="20"/>
          <w:color w:val="auto"/>
        </w:rPr>
      </w:pPr>
    </w:p>
    <w:p>
      <w:pPr>
        <w:ind w:firstLine="515"/>
        <w:spacing w:after="0" w:line="252" w:lineRule="auto"/>
        <w:rPr>
          <w:sz w:val="20"/>
          <w:szCs w:val="20"/>
          <w:color w:val="auto"/>
        </w:rPr>
      </w:pPr>
      <w:r>
        <w:rPr>
          <w:rFonts w:ascii="Arial" w:cs="Arial" w:eastAsia="Arial" w:hAnsi="Arial"/>
          <w:sz w:val="17"/>
          <w:szCs w:val="17"/>
          <w:color w:val="auto"/>
        </w:rPr>
        <w:t>Further, 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not be sufficient to cover our costs and may not be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7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other drug candidates and may fail to capitalize on programs or drug candidates that may present a greater commercial opportunity or for which there is a greater likelihood of success.</w:t>
      </w:r>
    </w:p>
    <w:p>
      <w:pPr>
        <w:spacing w:after="0" w:line="63" w:lineRule="exact"/>
        <w:rPr>
          <w:sz w:val="20"/>
          <w:szCs w:val="20"/>
          <w:color w:val="auto"/>
        </w:rPr>
      </w:pPr>
    </w:p>
    <w:p>
      <w:pPr>
        <w:ind w:right="40" w:firstLine="515"/>
        <w:spacing w:after="0" w:line="243" w:lineRule="auto"/>
        <w:rPr>
          <w:sz w:val="20"/>
          <w:szCs w:val="20"/>
          <w:color w:val="auto"/>
        </w:rPr>
      </w:pPr>
      <w:r>
        <w:rPr>
          <w:rFonts w:ascii="Arial" w:cs="Arial" w:eastAsia="Arial" w:hAnsi="Arial"/>
          <w:sz w:val="18"/>
          <w:szCs w:val="18"/>
          <w:color w:val="auto"/>
        </w:rPr>
        <w:t>The success of our business depends upon our ability to identify, develop and commercialize drug candidates. If we do not successfully develop and eventually commercialize products, we will face difficulty in obtaining product revenue in future periods, resulting in significant harm to our financial position and adversely affecting our share price. Research programs to identify new drug candidates require substantial technical, financial and human resources, and we may fail to identify potential drug candidates for numerous reasons.</w:t>
      </w:r>
    </w:p>
    <w:p>
      <w:pPr>
        <w:spacing w:after="0" w:line="80" w:lineRule="exact"/>
        <w:rPr>
          <w:sz w:val="20"/>
          <w:szCs w:val="20"/>
          <w:color w:val="auto"/>
        </w:rPr>
      </w:pPr>
    </w:p>
    <w:p>
      <w:pPr>
        <w:ind w:firstLine="515"/>
        <w:spacing w:after="0" w:line="251" w:lineRule="auto"/>
        <w:rPr>
          <w:sz w:val="20"/>
          <w:szCs w:val="20"/>
          <w:color w:val="auto"/>
        </w:rPr>
      </w:pPr>
      <w:r>
        <w:rPr>
          <w:rFonts w:ascii="Arial" w:cs="Arial" w:eastAsia="Arial" w:hAnsi="Arial"/>
          <w:sz w:val="17"/>
          <w:szCs w:val="17"/>
          <w:color w:val="auto"/>
        </w:rPr>
        <w:t>Additionally, because we have limited resources, we may forego or delay pursuit of opportunities with certain programs or drug candidates or for indications that later prove to have greater commercial potential. For example, we are currently focused on the development of our current drug candidates for hepatological indications. In addition, we are pursuing other drug candidates for viral diseases. However, the advancement of these drug candidates may ultimately prove to be unsuccessful or less successful than another program in our pipeline that we might have chosen to pursue on a less aggressive basis. However, due to the significant resources required for the development of our drug candidates, we must focus on specific diseases and disease pathways and decide which drug candidates to pursue and the amount of resources to allocate to each. Our near-term objective is to demonstrate favorable risk/benefit profiles through Phase 1 clinical trials of our drug candidates ALG-000184 and ALG-020572. Our estimates regarding the potential market for our drug candidates could be inaccurate and our decisions concerning the allocation of research, development, collaboration, management and financial resources toward particular drug candidates or therapeutic areas may not lead to the development of any viable commercial product and may divert resources away from better opportunities. Similarly, any potential decision to delay or terminate development of a drug candidate or program may subsequently also prove to be suboptimal and could cause us to miss valuable opportunities. Further, if we do not accurately evaluate the commercial potential for a particular drug candidate, we may relinquish valuable rights to that drug candidate through collaboration, licensing or other arrangements in cases in which it would have been more advantageous for us to retain sole development and commercialization rights to such drug candidate. Alternatively, we may allocate internal resources to a drug</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candidate in a therapeutic area in which it would have been more advantageous to enter into a partnering arrangement.</w:t>
      </w:r>
    </w:p>
    <w:p>
      <w:pPr>
        <w:spacing w:after="0" w:line="104"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drug candidate or we may fail to develop a potentially successful drug candidate or capitalize on profitable market opportunities, all of which could have a material adverse effect on our business, financial condition, results of operations and prospects.</w:t>
      </w:r>
    </w:p>
    <w:p>
      <w:pPr>
        <w:spacing w:after="0" w:line="74"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b w:val="1"/>
          <w:bCs w:val="1"/>
          <w:i w:val="1"/>
          <w:iCs w:val="1"/>
          <w:color w:val="auto"/>
        </w:rPr>
        <w:t>We may seek and fail to obtain fast track or breakthrough therapy designations from the FDA for our current or future drug candidates or priority review designation for any NDA we may submit to the FDA. Even if we are successful, these programs may not lead to a faster development or regulatory review process, and they do not guarantee we will receive approval for any drug candidate. We may also seek to obtain accelerated approval for one or more of our drug candidates but the FDA may disagree that we have met the requirements for such approval.</w:t>
      </w:r>
    </w:p>
    <w:p>
      <w:pPr>
        <w:spacing w:after="0" w:line="4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If a product is intended for the treatment of a serious or life-threatening condition and nonclinical or clinical data demonstrate the potential to address an unmet medical need for this condition, the product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81"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We may also seek breakthrough therapy designation for any drug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drug candidate we develop meets the criteria for designation as a breakthrough therapy, the FDA may disagree and instead determine not to make such designation. In any event, the receipt of breakthrough therapy designation for a drug candidate may not result in a faster development process, review or approval compared to drugs considered for approval under conventional FDA procedures and does not assure ultimate approval by the FDA. In addition, even if a drug candidate we develop qualifies as a breakthrough therapy, the FDA may later decide that the drug no longer meets the conditions for qualification and rescind the designation.</w:t>
      </w:r>
    </w:p>
    <w:p>
      <w:pPr>
        <w:spacing w:after="0" w:line="76"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Drugs designated as fast track products or breakthrough therapies by the FDA are also eligible for priority review of any NDA submitted for such drug candidates, which could result in FDA action on the NDA in a shorter timeframe than under standard review. In order to grant priority review designation, the FDA must find that the product, if approved, would provide a significant improvement in the safety or effectiveness of the treatment, diagnosis or prevention of a serious disease or condition. However, priority review does not guarantee approval of the NDA and may not result in a shorter overall review timeline if the FDA has significant questions or additional requests as part of the NDA review.</w:t>
      </w:r>
    </w:p>
    <w:p>
      <w:pPr>
        <w:spacing w:after="0" w:line="66"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In addition, the FDA may grant accelerated approval to a product if the FDA determines that it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For example, this is currently the case with drugs for the treatment of NASH.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requires pre-approval of promotional materials for accelerated approval products, once approved. We cannot guarantee that the FDA will conclude that any of our drug candidates has met the criteria to receive accelerated approval, which would require us to conduct additional clinical testing prior to seeking FDA approval. Even if any of our drug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3" w:name="page74"/>
    <w:bookmarkEnd w:id="73"/>
    <w:p>
      <w:pPr>
        <w:ind w:right="620"/>
        <w:spacing w:after="0" w:line="261" w:lineRule="auto"/>
        <w:rPr>
          <w:sz w:val="20"/>
          <w:szCs w:val="20"/>
          <w:color w:val="auto"/>
        </w:rPr>
      </w:pPr>
      <w:r>
        <w:rPr>
          <w:rFonts w:ascii="Arial" w:cs="Arial" w:eastAsia="Arial" w:hAnsi="Arial"/>
          <w:sz w:val="18"/>
          <w:szCs w:val="18"/>
          <w:b w:val="1"/>
          <w:bCs w:val="1"/>
          <w:i w:val="1"/>
          <w:iCs w:val="1"/>
          <w:color w:val="auto"/>
        </w:rPr>
        <w:t>We may seek Orphan Drug Designation for drug candidates we develop, and we may be unsuccessful or may be unable to maintain the benefits associated with Orphan Drug Designation, including the potential for market exclusivity.</w:t>
      </w:r>
    </w:p>
    <w:p>
      <w:pPr>
        <w:spacing w:after="0" w:line="63" w:lineRule="exact"/>
        <w:rPr>
          <w:sz w:val="20"/>
          <w:szCs w:val="20"/>
          <w:color w:val="auto"/>
        </w:rPr>
      </w:pPr>
    </w:p>
    <w:p>
      <w:pPr>
        <w:ind w:right="180" w:firstLine="509"/>
        <w:spacing w:after="0" w:line="255" w:lineRule="auto"/>
        <w:rPr>
          <w:sz w:val="20"/>
          <w:szCs w:val="20"/>
          <w:color w:val="auto"/>
        </w:rPr>
      </w:pPr>
      <w:r>
        <w:rPr>
          <w:rFonts w:ascii="Arial" w:cs="Arial" w:eastAsia="Arial" w:hAnsi="Arial"/>
          <w:sz w:val="17"/>
          <w:szCs w:val="17"/>
          <w:color w:val="auto"/>
        </w:rPr>
        <w:t>As part of our business strategy, we may seek Orphan Drug Designation for any drug candidates we develop, and we may be unsuccessful in obtaining such designation. Regulatory authorities in some jurisdictions, including the United States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72"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Similarly, in the EU,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60" w:lineRule="exact"/>
        <w:rPr>
          <w:sz w:val="20"/>
          <w:szCs w:val="20"/>
          <w:color w:val="auto"/>
        </w:rPr>
      </w:pPr>
    </w:p>
    <w:p>
      <w:pPr>
        <w:ind w:right="140" w:firstLine="515"/>
        <w:spacing w:after="0" w:line="241" w:lineRule="auto"/>
        <w:rPr>
          <w:sz w:val="20"/>
          <w:szCs w:val="20"/>
          <w:color w:val="auto"/>
        </w:rPr>
      </w:pPr>
      <w:r>
        <w:rPr>
          <w:rFonts w:ascii="Arial" w:cs="Arial" w:eastAsia="Arial" w:hAnsi="Arial"/>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 The EU exclusivity period can be reduced to six years if a drug no longer meets the criteria for Orphan Drug Designation or if the drug is sufficiently profitable such that market exclusivity is no longer justified.</w:t>
      </w:r>
    </w:p>
    <w:p>
      <w:pPr>
        <w:spacing w:after="0" w:line="81" w:lineRule="exact"/>
        <w:rPr>
          <w:sz w:val="20"/>
          <w:szCs w:val="20"/>
          <w:color w:val="auto"/>
        </w:rPr>
      </w:pPr>
    </w:p>
    <w:p>
      <w:pPr>
        <w:ind w:right="20" w:firstLine="515"/>
        <w:spacing w:after="0" w:line="253" w:lineRule="auto"/>
        <w:rPr>
          <w:sz w:val="20"/>
          <w:szCs w:val="20"/>
          <w:color w:val="auto"/>
        </w:rPr>
      </w:pPr>
      <w:r>
        <w:rPr>
          <w:rFonts w:ascii="Arial" w:cs="Arial" w:eastAsia="Arial" w:hAnsi="Arial"/>
          <w:sz w:val="17"/>
          <w:szCs w:val="17"/>
          <w:color w:val="auto"/>
        </w:rPr>
        <w:t>Even if we obtain orphan drug exclusivity for a drug candidate, that exclusivity may not effectively protect the drug candidate from competition because different therapies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candidate nor gives the drug candidate any advantage in the regulatory review or approval process. While we may seek Orphan Drug Designation for applicable indications for our current and any future drug candidates, we may never receive such designations. Even if we do receive such designations, there is no guarantee that we will enjoy the benefits of those designations.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required to make significant payments under our license agreements with Emory University and Luxna Biotech Co., Ltd.</w:t>
      </w:r>
    </w:p>
    <w:p>
      <w:pPr>
        <w:spacing w:after="0" w:line="115"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We entered into a License Agreement with Emory in June 2018 (the Emory License Agreement), and a License Agreement with Luxna in December 2018 and an amendment in April 2020 (as amended, the Luxna Agreement). Under the Emory License Agreement and Luxna Agreement, we are subject to significant obligations, including milestone payments, royalty payments, and certain other agreed-to costs. For more information regarding our license agreements, please see the section titled “Business—License agreements and collaborations” of this report. If these payments become due under the terms of either the Emory University License Agreement or Luxna Agreement, we may not have sufficient funds available to meet our obligations and our development efforts may be materially harmed. Furthermore, if we are forced to raise additional funds, we may be required to delay, limit,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4" w:name="page75"/>
    <w:bookmarkEnd w:id="74"/>
    <w:p>
      <w:pPr>
        <w:ind w:right="400"/>
        <w:spacing w:after="0" w:line="261" w:lineRule="auto"/>
        <w:rPr>
          <w:sz w:val="20"/>
          <w:szCs w:val="20"/>
          <w:color w:val="auto"/>
        </w:rPr>
      </w:pPr>
      <w:r>
        <w:rPr>
          <w:rFonts w:ascii="Arial" w:cs="Arial" w:eastAsia="Arial" w:hAnsi="Arial"/>
          <w:sz w:val="18"/>
          <w:szCs w:val="18"/>
          <w:color w:val="auto"/>
        </w:rPr>
        <w:t>reduce or terminate our product development or future commercialization efforts, or grant rights to develop and market drug candidates that we would otherwise develop and market ourselves.</w:t>
      </w:r>
    </w:p>
    <w:p>
      <w:pPr>
        <w:spacing w:after="0" w:line="6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approved products.</w:t>
      </w:r>
    </w:p>
    <w:p>
      <w:pPr>
        <w:spacing w:after="0" w:line="63"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We face an inherent risk of product liability as a result of the clinical testing of drug candidates and will face an even greater risk if we commercialize any products. For example, we may be sued if any drug candidate we develop causes or is perceived to cause illness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w:t>
      </w:r>
    </w:p>
    <w:p>
      <w:pPr>
        <w:spacing w:after="0" w:line="58"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decreased demand for any approved product;</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monetary payments to trial participants or patients;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effects to our results of operations and business;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commercialize any drug candidate; and</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198" w:lineRule="exact"/>
        <w:rPr>
          <w:sz w:val="20"/>
          <w:szCs w:val="20"/>
          <w:color w:val="auto"/>
        </w:rPr>
      </w:pPr>
    </w:p>
    <w:p>
      <w:pPr>
        <w:ind w:right="200" w:firstLine="509"/>
        <w:spacing w:after="0" w:line="246" w:lineRule="auto"/>
        <w:rPr>
          <w:sz w:val="20"/>
          <w:szCs w:val="20"/>
          <w:color w:val="auto"/>
        </w:rPr>
      </w:pPr>
      <w:r>
        <w:rPr>
          <w:rFonts w:ascii="Arial" w:cs="Arial" w:eastAsia="Arial" w:hAnsi="Arial"/>
          <w:sz w:val="18"/>
          <w:szCs w:val="18"/>
          <w:color w:val="auto"/>
        </w:rPr>
        <w:t>Our inability to obtain sufficient product liability insurance at an acceptable cost or at all to protect against potential product liability claims could prevent or inhibit the commercialization of products we develop, alone or with collaboration partners.</w:t>
      </w:r>
    </w:p>
    <w:p>
      <w:pPr>
        <w:spacing w:after="0" w:line="62" w:lineRule="exact"/>
        <w:rPr>
          <w:sz w:val="20"/>
          <w:szCs w:val="20"/>
          <w:color w:val="auto"/>
        </w:rPr>
      </w:pPr>
    </w:p>
    <w:p>
      <w:pPr>
        <w:ind w:firstLine="509"/>
        <w:spacing w:after="0" w:line="227" w:lineRule="auto"/>
        <w:rPr>
          <w:sz w:val="20"/>
          <w:szCs w:val="20"/>
          <w:color w:val="auto"/>
        </w:rPr>
      </w:pPr>
      <w:r>
        <w:rPr>
          <w:rFonts w:ascii="Arial" w:cs="Arial" w:eastAsia="Arial" w:hAnsi="Arial"/>
          <w:sz w:val="18"/>
          <w:szCs w:val="18"/>
          <w:color w:val="auto"/>
        </w:rPr>
        <w:t>Insurance coverage is increasingly expensive. We may not be able to maintain insurance, including product liability insurance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90" w:lineRule="exact"/>
        <w:rPr>
          <w:sz w:val="20"/>
          <w:szCs w:val="20"/>
          <w:color w:val="auto"/>
        </w:rPr>
      </w:pPr>
    </w:p>
    <w:p>
      <w:pPr>
        <w:ind w:right="20" w:firstLine="509"/>
        <w:spacing w:after="0" w:line="258"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Affordable Care Act (the ACA) was passed, which substantially changed the way healthcare is financed by both governmental and private insurers, and significantly impacted the U.S. pharmaceutical industry.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point-of-sale discounts off negotiated prices of applicable brand drugs to eligible beneficiaries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during their coverage gap period, as a condition for the manufacturer’s outpatient drugs being covered under Medicare Part D.</w:t>
      </w:r>
    </w:p>
    <w:p>
      <w:pPr>
        <w:spacing w:after="0" w:line="104"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will impact our business.</w:t>
      </w:r>
    </w:p>
    <w:p>
      <w:pPr>
        <w:spacing w:after="0" w:line="86"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unless additional Congressional action is taken. In addition, on January 2, 2013, the American Taxpayer Relief Act of 2012 was signed into law, which, among other things, further reduced Medicare payments to several types of providers.</w:t>
      </w:r>
    </w:p>
    <w:p>
      <w:pPr>
        <w:spacing w:after="0" w:line="5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We expect that additional state and federal healthcare reform measures will be adopted in the future, any of which could limit the amounts that federal and state governments will pay for healthcare products and services, which could result in additional pricing pressure or reduced demand for any drug candidate we develop or complementary or companion diagnostics. For example, it is possible that additional governmental action will be taken to address the COVID-19 pandemic, which could impact our business in an as-yet unknown manner.</w:t>
      </w:r>
    </w:p>
    <w:p>
      <w:pPr>
        <w:spacing w:after="0" w:line="81"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specialty drug pricing practices. Specifically, there have been several recent U.S. Congressional inquiries and proposed and enacted federal and state legislation and regulation designed to, among other things, bring more transparency to drug pricing, reduce the cost of prescription drugs under Medicare, review the relationship between pricing and manufacturer patient programs, and reform government program reimbursement methodologies for drugs. It is unclear whether the Biden administration will work to reverse these measures or pursue similar policy initiatives to control drug costs. Any reduction in reimbursement from Medicare and other government programs may result in a similar reduction in payments from private payers.</w:t>
      </w:r>
    </w:p>
    <w:p>
      <w:pPr>
        <w:spacing w:after="0" w:line="67"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b w:val="1"/>
          <w:bCs w:val="1"/>
          <w:i w:val="1"/>
          <w:iCs w:val="1"/>
          <w:color w:val="auto"/>
        </w:rPr>
        <w:t>Failure to comply with current or future federal, state and foreign laws and regulations and industry standards relating to privacy and data protection laws could lead to government enforcement actions, which could include civil or criminal penalties, private litigation, and/or adverse publicity and could negatively affect our operating results and business.</w:t>
      </w:r>
    </w:p>
    <w:p>
      <w:pPr>
        <w:spacing w:after="0" w:line="74" w:lineRule="exact"/>
        <w:rPr>
          <w:sz w:val="20"/>
          <w:szCs w:val="20"/>
          <w:color w:val="auto"/>
        </w:rPr>
      </w:pPr>
    </w:p>
    <w:p>
      <w:pPr>
        <w:ind w:right="60" w:firstLine="509"/>
        <w:spacing w:after="0" w:line="271" w:lineRule="auto"/>
        <w:rPr>
          <w:sz w:val="20"/>
          <w:szCs w:val="20"/>
          <w:color w:val="auto"/>
        </w:rPr>
      </w:pPr>
      <w:r>
        <w:rPr>
          <w:rFonts w:ascii="Arial" w:cs="Arial" w:eastAsia="Arial" w:hAnsi="Arial"/>
          <w:sz w:val="16"/>
          <w:szCs w:val="16"/>
          <w:color w:val="auto"/>
        </w:rPr>
        <w:t>We and our partners may be subject to federal, state and foreign data privacy and security laws and regulations. Failure by us or our third-party vendors, collaborators, contractors and consultants to comply with any of these laws and regulations could result in notification obligations or enforcement actions against us, which could result in, among other things, fines, claims for damages by affected individuals,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in the United States, the EU and elsewhere, are often uncertain, contradictory and in flux. As a result, implementation standards and enforcement practices are likely to remain uncertain for the foreseeable future. As our operations and business grow, we may become subject to or affected by new or additional data protection laws and regulations and face increased scrutiny or attention from regulatory authorities.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76" w:name="page77"/>
    <w:bookmarkEnd w:id="76"/>
    <w:p>
      <w:pPr>
        <w:ind w:right="60" w:firstLine="509"/>
        <w:spacing w:after="0" w:line="255" w:lineRule="auto"/>
        <w:rPr>
          <w:sz w:val="20"/>
          <w:szCs w:val="20"/>
          <w:color w:val="auto"/>
        </w:rPr>
      </w:pPr>
      <w:r>
        <w:rPr>
          <w:rFonts w:ascii="Arial" w:cs="Arial" w:eastAsia="Arial" w:hAnsi="Arial"/>
          <w:sz w:val="17"/>
          <w:szCs w:val="17"/>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which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Depending on the facts and circumstances, we could be subject to criminal penalties if we knowingly obtain, use, or disclose individually identifiable health information provided to us by a HIPAA-covered entity in a manner that is not authorized or permitted by HIPAA.</w:t>
      </w:r>
    </w:p>
    <w:p>
      <w:pPr>
        <w:spacing w:after="0" w:line="72"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Many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Further, we may also be subject to other state laws governing the privacy, processing and protection of personal information. For example, the California Consumer Privacy Act of 2018 (CCPA) went into effect on January 1, 2020. The CCPA, among other things, creates individual privacy rights for California consumers, such as the right to access and delete their personal information, opt-out of certain sales of personal information and receive detailed information about how their personal information is used. The CCPA provides for civil penalties for violations, as well as a private right of action for data breaches that is expected to increase the frequency of data breach litigation. The CCPA may increase our compliance costs and potential liability, and many similar laws have been proposed at the federal level and in other states. Further, the California Privacy Rights Act (CPRA) recently passed in California, which significantly amends the CCPA and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or other domestic privacy and data protection laws, any liability from failure to comply with the requirements of these laws could adversely affect our financial condition.</w:t>
      </w:r>
    </w:p>
    <w:p>
      <w:pPr>
        <w:spacing w:after="0" w:line="67" w:lineRule="exact"/>
        <w:rPr>
          <w:sz w:val="20"/>
          <w:szCs w:val="20"/>
          <w:color w:val="auto"/>
        </w:rPr>
      </w:pPr>
    </w:p>
    <w:p>
      <w:pPr>
        <w:ind w:right="20" w:firstLine="509"/>
        <w:spacing w:after="0" w:line="269" w:lineRule="auto"/>
        <w:rPr>
          <w:sz w:val="20"/>
          <w:szCs w:val="20"/>
          <w:color w:val="auto"/>
        </w:rPr>
      </w:pPr>
      <w:r>
        <w:rPr>
          <w:rFonts w:ascii="Arial" w:cs="Arial" w:eastAsia="Arial" w:hAnsi="Arial"/>
          <w:sz w:val="16"/>
          <w:szCs w:val="16"/>
          <w:color w:val="auto"/>
        </w:rPr>
        <w:t>We currently operate in countries outside of the United States, including Belgium, Australia and China, where laws may in some cases be more stringent than the requirements in the United States. For example, in Europe, the General Data Protection Regulation (GDPR) went into effect in May 2018 and imposes strict requirements for the collection, storage, use, disclosure, transfer and other processing of the personal data of individuals within the European Economic Area (EEA). The GDPR applies extra-territorially under certain circumstances and imposes stringent requirements on controllers and processors of personal data, including, for example, requirements to obtain consent or other legal bases from individuals to process their personal data, provide robust disclosures to individuals, accommodate a set of individual data rights, provide data security breach notifications, limit retention of personal information and apply enhanced protections to health data and other special categories of personal data. The GDPR also applies to pseudonymized data, which is defined as “the processing of personal data in such a way that the data can no longer be attributed to a specific data subject without the use of additional information,” and imposes additional obligations when we contract with third-party processors in connection with the processing of any personal data. The GDPR provides that EU and EEA member states may make their own further laws and regulations limiting the processing of personal data, including genetic, biometric or health data, which could limit our ability to use and share personal data, could cause our costs to increase and could harm our financial condition. Failure to comply with the requirements of the GDPR could result in fines of up to €20 million or 4% of the total worldwide annual turnover of our preceding fiscal year, whichever is higher, and other administrative penalties.</w:t>
      </w:r>
    </w:p>
    <w:p>
      <w:pPr>
        <w:spacing w:after="0" w:line="60" w:lineRule="exact"/>
        <w:rPr>
          <w:sz w:val="20"/>
          <w:szCs w:val="20"/>
          <w:color w:val="auto"/>
        </w:rPr>
      </w:pPr>
    </w:p>
    <w:p>
      <w:pPr>
        <w:ind w:right="220" w:firstLine="509"/>
        <w:spacing w:after="0" w:line="276" w:lineRule="auto"/>
        <w:rPr>
          <w:sz w:val="20"/>
          <w:szCs w:val="20"/>
          <w:color w:val="auto"/>
        </w:rPr>
      </w:pPr>
      <w:r>
        <w:rPr>
          <w:rFonts w:ascii="Arial" w:cs="Arial" w:eastAsia="Arial" w:hAnsi="Arial"/>
          <w:sz w:val="16"/>
          <w:szCs w:val="16"/>
          <w:color w:val="auto"/>
        </w:rPr>
        <w:t>Further, from January 1, 2021, we have to comply with the GDPR and also the United Kingdom GDPR (UK GDPR), which, together, with the amended Data Protection Act 2018, retains the GDPR in UK national law, the latter regime having the ability to separately fine up to the greater of £17.5 million or 4% of global turnover.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term.The European Commission has adopted an adequacy decision in favor of the United Kingdom, enabling data transfers from EU member states to the United Kingdom without additional safeguards. However, the UK adequacy decision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will automatically expire in June 2025 unless the European Commission re-assesses and renews or extends that decision.</w:t>
      </w:r>
    </w:p>
    <w:p>
      <w:pPr>
        <w:spacing w:after="0" w:line="104"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The GDPR further prohibits, without an appropriate legal basis, the transfer of personal data to countries outside of the EEA, such as the United States, which are not considered by the European Commission to provide an adequate level of data protection. Recent legal developments in Europe have created complexity and uncertainty regarding transfers of personal data from the EEA to the United States. For example,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(SCCs).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 new SCCs apply only to the transfer of personal data outside of the EEA and not the UK; the UK’s Information Commissioner’s Office launched a public consultation on its draft revised data transfers mechanisms in August 2021. There is some uncertainty around whether the revised clauses can be used for all types of data transfers, particularly whether they can be relied on for data transfers to non-EEA entities subject to the GDPR.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79" w:lineRule="exact"/>
        <w:rPr>
          <w:sz w:val="20"/>
          <w:szCs w:val="20"/>
          <w:color w:val="auto"/>
        </w:rPr>
      </w:pPr>
    </w:p>
    <w:p>
      <w:pPr>
        <w:ind w:right="200" w:firstLine="509"/>
        <w:spacing w:after="0" w:line="259" w:lineRule="auto"/>
        <w:rPr>
          <w:sz w:val="20"/>
          <w:szCs w:val="20"/>
          <w:color w:val="auto"/>
        </w:rPr>
      </w:pPr>
      <w:r>
        <w:rPr>
          <w:rFonts w:ascii="Arial" w:cs="Arial" w:eastAsia="Arial" w:hAnsi="Arial"/>
          <w:sz w:val="17"/>
          <w:szCs w:val="17"/>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ability to operate in certain jurisdictions. Each of these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internal computer systems, or those used by our CROs or other contractors or consultants, may fail or suffer security breaches.</w:t>
      </w:r>
    </w:p>
    <w:p>
      <w:pPr>
        <w:spacing w:after="0" w:line="115" w:lineRule="exact"/>
        <w:rPr>
          <w:sz w:val="20"/>
          <w:szCs w:val="20"/>
          <w:color w:val="auto"/>
        </w:rPr>
      </w:pPr>
    </w:p>
    <w:p>
      <w:pPr>
        <w:ind w:right="60" w:firstLine="509"/>
        <w:spacing w:after="0" w:line="268" w:lineRule="auto"/>
        <w:rPr>
          <w:sz w:val="20"/>
          <w:szCs w:val="20"/>
          <w:color w:val="auto"/>
        </w:rPr>
      </w:pPr>
      <w:r>
        <w:rPr>
          <w:rFonts w:ascii="Arial" w:cs="Arial" w:eastAsia="Arial" w:hAnsi="Arial"/>
          <w:sz w:val="16"/>
          <w:szCs w:val="16"/>
          <w:color w:val="auto"/>
        </w:rPr>
        <w:t>Despite the implementation of security measures, our internal computer systems and those of our CROs and other contractors and consultants are vulnerable to damage from cyber-attacks, computer hacks, theft, viruses, malicious software, phishing, employee error, denial-of-service attacks, unauthorized access and other security breaches that could jeopardize the performance of our software and computer systems, and could expose us to financial and reputational harm. 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While we have not to our knowledge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marketing approval efforts and significantly increase our costs to recover or reproduce the data. Likewise, we rely on third parties for the manufacture of our drug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development and commercialization of our future drug candidates could be delayed.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10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i w:val="1"/>
          <w:iCs w:val="1"/>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56" w:lineRule="exact"/>
        <w:rPr>
          <w:sz w:val="20"/>
          <w:szCs w:val="20"/>
          <w:color w:val="auto"/>
        </w:rPr>
      </w:pPr>
    </w:p>
    <w:p>
      <w:pPr>
        <w:ind w:right="240" w:firstLine="509"/>
        <w:spacing w:after="0" w:line="257" w:lineRule="auto"/>
        <w:rPr>
          <w:sz w:val="20"/>
          <w:szCs w:val="20"/>
          <w:color w:val="auto"/>
        </w:rPr>
      </w:pPr>
      <w:r>
        <w:rPr>
          <w:rFonts w:ascii="Arial" w:cs="Arial" w:eastAsia="Arial" w:hAnsi="Arial"/>
          <w:sz w:val="17"/>
          <w:szCs w:val="17"/>
          <w:color w:val="auto"/>
        </w:rPr>
        <w:t>We are currently collaborating with third parties to develop certain of our potential drug candidates. For example, we are collaborating with the Rega Institute and Centre for Drug Design and Discovery at KU Leuven with respect to potential protease inhibitors for the treatment of coronaviruses, including SARS-CoV-2, with Emory University with respect to certain aspects of our small molecule CHB program and with Merck with respect to the discovery, research and development of oligonucleotides against a NASH target. In the future, we may form or seek strategic alliances, joint ventures, or collaborations, or enter into additional licensing arrangements with third parties that we believe will complement or augment our development and commercialization efforts with respect to drug candidates we develop.</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our current and future drug candidates may pose the following risks to us:</w:t>
      </w:r>
    </w:p>
    <w:p>
      <w:pPr>
        <w:spacing w:after="0" w:line="104"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03"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abandon a drug candidate, repeat or conduct new clinical trials or require a new formulation of a drug candidate for clinical testing;</w:t>
      </w:r>
    </w:p>
    <w:p>
      <w:pPr>
        <w:spacing w:after="0" w:line="62"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(if any) or drug candidates;</w:t>
      </w:r>
    </w:p>
    <w:p>
      <w:pPr>
        <w:spacing w:after="0" w:line="62"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may otherwise not perform satisfactorily in carrying out these activities;</w:t>
      </w:r>
    </w:p>
    <w:p>
      <w:pPr>
        <w:spacing w:after="0" w:line="62" w:lineRule="exact"/>
        <w:rPr>
          <w:rFonts w:ascii="Arial" w:cs="Arial" w:eastAsia="Arial" w:hAnsi="Arial"/>
          <w:sz w:val="18"/>
          <w:szCs w:val="18"/>
          <w:color w:val="auto"/>
        </w:rPr>
      </w:pPr>
    </w:p>
    <w:p>
      <w:pPr>
        <w:ind w:left="1020" w:right="80" w:hanging="503"/>
        <w:spacing w:after="0" w:line="248"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7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products that result from our collaboration with them, and in such cases, we may not have the exclusive right to develop, license or commercialize such intellectual property;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disputes may arise with respect to ownership of any intellectual property developed pursuant to our collaborations;</w:t>
      </w:r>
    </w:p>
    <w:p>
      <w:pPr>
        <w:spacing w:after="0" w:line="103" w:lineRule="exact"/>
        <w:rPr>
          <w:rFonts w:ascii="Arial" w:cs="Arial" w:eastAsia="Arial" w:hAnsi="Arial"/>
          <w:sz w:val="18"/>
          <w:szCs w:val="18"/>
          <w:color w:val="auto"/>
        </w:rPr>
      </w:pPr>
    </w:p>
    <w:p>
      <w:pPr>
        <w:ind w:left="1020" w:right="100" w:hanging="503"/>
        <w:spacing w:after="0" w:line="324"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disputes may arise between a collaborator or strategic partner and us that cause the delay or termination of the research, development or commercialization of the drug candidate, or that result in costly litigation or arbitration that diverts management attention and resources; and</w:t>
      </w:r>
    </w:p>
    <w:p>
      <w:pPr>
        <w:spacing w:after="0" w:line="16" w:lineRule="exact"/>
        <w:rPr>
          <w:rFonts w:ascii="Arial" w:cs="Arial" w:eastAsia="Arial" w:hAnsi="Arial"/>
          <w:sz w:val="16"/>
          <w:szCs w:val="16"/>
          <w:color w:val="auto"/>
        </w:rPr>
      </w:pPr>
    </w:p>
    <w:p>
      <w:pPr>
        <w:ind w:left="1020" w:right="180" w:hanging="503"/>
        <w:spacing w:after="0" w:line="291"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a current or future collaborator of ours were to be involved in a business combination, the continued pursuit and emphasis on our product development or commercialization program under such collaboration could be delayed, diminished or terminated.</w:t>
      </w:r>
    </w:p>
    <w:p>
      <w:pPr>
        <w:spacing w:after="0" w:line="3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drug candidate we develop could delay the development and commercialization of our drug candidates, which would harm our business prospects, financial condition, and results of operations.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9" w:name="page80"/>
    <w:bookmarkEnd w:id="79"/>
    <w:p>
      <w:pPr>
        <w:ind w:right="220"/>
        <w:spacing w:after="0" w:line="261"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63"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The advancement of our drug candidates and development programs and the potential commercialization of our current and future drug candidates will require substantial additional cash to fund expenses. For some of our programs, we may decide to collaborate with other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divert our management’s attention and disrupt our business.</w:t>
      </w:r>
    </w:p>
    <w:p>
      <w:pPr>
        <w:spacing w:after="0" w:line="81"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We face significant competition in seeking appropriate strategic partners and the negotiation process is time-consuming and complex. Whether we reach a definitive agreement for any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Further, we may not be successful in our efforts to establish a strategic partnership or other alternative arrangements for future drug candidates because they may be deemed to be at too early of a stage of development for collaborative efforts and third parties may not view them as having the requisite potential to demonstrate safety and efficacy.</w:t>
      </w:r>
    </w:p>
    <w:p>
      <w:pPr>
        <w:spacing w:after="0" w:line="59" w:lineRule="exact"/>
        <w:rPr>
          <w:sz w:val="20"/>
          <w:szCs w:val="20"/>
          <w:color w:val="auto"/>
        </w:rPr>
      </w:pPr>
    </w:p>
    <w:p>
      <w:pPr>
        <w:ind w:right="800" w:firstLine="509"/>
        <w:spacing w:after="0" w:line="261" w:lineRule="auto"/>
        <w:rPr>
          <w:sz w:val="20"/>
          <w:szCs w:val="20"/>
          <w:color w:val="auto"/>
        </w:rPr>
      </w:pPr>
      <w:r>
        <w:rPr>
          <w:rFonts w:ascii="Arial" w:cs="Arial" w:eastAsia="Arial" w:hAnsi="Arial"/>
          <w:sz w:val="18"/>
          <w:szCs w:val="18"/>
          <w:color w:val="auto"/>
        </w:rPr>
        <w:t>We may also be restricted under future collaboration agreements from entering into additional agreements on certain terms with potential collaborators.</w:t>
      </w:r>
    </w:p>
    <w:p>
      <w:pPr>
        <w:spacing w:after="0" w:line="63"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w:t>
      </w:r>
    </w:p>
    <w:p>
      <w:pPr>
        <w:spacing w:after="0" w:line="63"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p>
    <w:p>
      <w:pPr>
        <w:spacing w:after="0" w:line="5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63"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If conflicts arise between our academic collaborators or strategic partners and us, the other party may act in a manner adverse to us and could limit our ability to implement our strategies. Current or future collaborators or strategic partners may develop, either alone or with others, products in related fields that are competitive with the products or potential products that are the subject of these collaborations.</w:t>
      </w:r>
    </w:p>
    <w:p>
      <w:pPr>
        <w:spacing w:after="0" w:line="7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Furthermore, competing products, either developed by our current or future collaborators or strategic partners or to which our collaborators or strategic partners may have rights, may result in the withdrawal of partner support for our drug candidates. Any of these developments could harm our product development efforts.</w:t>
      </w:r>
    </w:p>
    <w:p>
      <w:pPr>
        <w:spacing w:after="0" w:line="81"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b w:val="1"/>
          <w:bCs w:val="1"/>
          <w:i w:val="1"/>
          <w:iCs w:val="1"/>
          <w:color w:val="auto"/>
        </w:rPr>
        <w:t>We rely on third parties to conduct our ongoing and planned clinical trials and certain of our nonclinical studies for drug candidates we develop. If these third parties do not successfully carry out their contractual duties, comply with regulatory requirements or meet expected deadlines, we may not be able to obtain marketing</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approval for or commercialize the drug candidates we are developing and our business could be substantially harmed.</w:t>
      </w:r>
    </w:p>
    <w:p>
      <w:pPr>
        <w:spacing w:after="0" w:line="104" w:lineRule="exact"/>
        <w:rPr>
          <w:sz w:val="20"/>
          <w:szCs w:val="20"/>
          <w:color w:val="auto"/>
        </w:rPr>
      </w:pPr>
    </w:p>
    <w:p>
      <w:pPr>
        <w:ind w:right="120" w:firstLine="509"/>
        <w:spacing w:after="0" w:line="207" w:lineRule="exact"/>
        <w:rPr>
          <w:sz w:val="20"/>
          <w:szCs w:val="20"/>
          <w:color w:val="auto"/>
        </w:rPr>
      </w:pPr>
      <w:r>
        <w:rPr>
          <w:rFonts w:ascii="Arial" w:cs="Arial" w:eastAsia="Arial" w:hAnsi="Arial"/>
          <w:sz w:val="18"/>
          <w:szCs w:val="18"/>
          <w:color w:val="auto"/>
        </w:rPr>
        <w:t>We do not have the ability to independently conduct certain nonclinical studies and clinical trials. We rely on medical institutions, clinical investigators, contract laboratories, and other third parties, such as CROs, to conduct or otherwise support certain nonclinical studies and clinical trials for our drug candidates, including ALG</w:t>
      </w:r>
      <w:r>
        <w:rPr>
          <w:rFonts w:ascii="MS PGothic" w:cs="MS PGothic" w:eastAsia="MS PGothic" w:hAnsi="MS PGothic"/>
          <w:sz w:val="18"/>
          <w:szCs w:val="18"/>
          <w:color w:val="auto"/>
        </w:rPr>
        <w:t>‑</w:t>
      </w:r>
      <w:r>
        <w:rPr>
          <w:rFonts w:ascii="Arial" w:cs="Arial" w:eastAsia="Arial" w:hAnsi="Arial"/>
          <w:sz w:val="18"/>
          <w:szCs w:val="18"/>
          <w:color w:val="auto"/>
        </w:rPr>
        <w:t>000184 and ALG-020572, and we control only certain aspects of their activities. Nevertheless, we are responsible for ensuring that each of our nonclinical studies and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nonclinical studies or clinical trials, we could be subject to untitled and warning letters or enforcement action that may include civil penalties up to and including criminal prosecution.</w:t>
      </w:r>
    </w:p>
    <w:p>
      <w:pPr>
        <w:spacing w:after="0" w:line="83"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We and our CROs are required to comply with regulations and requirements, including GLP and GCP, for conducting, monitoring, recording and reporting the results of nonclinical studies and clinical trials, respectively,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GLP and GCP requirements through periodic inspections of laboratories conducting studies, clinical trial sponsors, principal investigators and trial sites. If we or our CROs fail to comply with applicable GLP or GCP, the data generated in our nonclinical studies or clinical trials may be deemed unreliable and the FDA or comparable foreign regulatory authorities may require us to perform additional nonclinical studies before allowing us to proceed with clinical trials or additional clinical trials before approving our marketing applications. We cannot assure you that, upon inspection, the FDA will determine that any of our future nonclinical studies or clinical trials will comply with GLP or GCP, as applicable. In addition, our nonclinical studies and clinical trials must be conducted with drug candidates produced under cGMP regulations. Our failure or the failure of our CROs to comply with these regulations may require us to delay or repeat nonclinical studies or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8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Although we intend to design the nonclinical studies and clinical trials for our drug candidates, CROs conduct all of the clinical trials and certain nonclinical studies. As a result, many important aspects of our nonclinical and clinical development, including their conduct and timing, will be outside of our direct control. Our reliance on third parties to conduct future nonclinical studies and clinical trials will also result in less direct control over the management of data developed through nonclinical studies or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81"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undergo changes in priorities;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become financially distressed;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1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These factors may materially adversely affect the willingness or ability of third parties to conduct our nonclinical studies or clinical trials and may subject us to unexpected cost increases and/or delays that are beyond our control. If the CROs do not perform nonclinical studies or clinical trials in a satisfactory manner, breach their obligations to us or fail to comply with regulatory requirements, the development, marketing approval and commercialization of our drug candidates may be delayed, we may not be able to obtain marketing approval and commercialize our drug candidates, or our development program may be materially and irreversibly harmed. If we are unable to rely on nonclinical or clinical data collected by our CROs, we could be required to repeat, extend the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1" w:name="page82"/>
    <w:bookmarkEnd w:id="81"/>
    <w:p>
      <w:pPr>
        <w:ind w:right="340"/>
        <w:spacing w:after="0" w:line="261" w:lineRule="auto"/>
        <w:rPr>
          <w:sz w:val="20"/>
          <w:szCs w:val="20"/>
          <w:color w:val="auto"/>
        </w:rPr>
      </w:pPr>
      <w:r>
        <w:rPr>
          <w:rFonts w:ascii="Arial" w:cs="Arial" w:eastAsia="Arial" w:hAnsi="Arial"/>
          <w:sz w:val="18"/>
          <w:szCs w:val="18"/>
          <w:color w:val="auto"/>
        </w:rPr>
        <w:t>duration of, or increase the size of any nonclinical studies or clinical trials we conduct and this could significantly delay commercialization and require significantly greater expenditures.</w:t>
      </w:r>
    </w:p>
    <w:p>
      <w:pPr>
        <w:spacing w:after="0" w:line="63"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if the quality or accuracy of the nonclinical or clinical data they obtain are compromised due to the failure to adhere to our protocols, regulatory requirements or for other reasons, or if they are negatively impacted by the COVID-19 pandemic, any nonclinical studies or clinical trials such CROs are associated with may be extended, delayed or terminated, and we may not be able to obtain marketing approval for or successfully commercialize our drug candidates. As a result, we believe that our financial results and the commercial prospects for our drug candidates in the subject indication would be harmed, our costs would increase and our ability to generate revenue would be delayed.</w:t>
      </w:r>
    </w:p>
    <w:p>
      <w:pPr>
        <w:spacing w:after="0" w:line="7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i w:val="1"/>
          <w:iCs w:val="1"/>
          <w:color w:val="auto"/>
        </w:rPr>
        <w:t>We rely on third parties to manufacture nonclinical and clinical drug supplies, and we intend to rely on third parties to produce commercial supplies of any approved product which increases the risk that we will not have sufficient quantities of such drug candidates or products or such quantities at an acceptable cost, which could delay, prevent or impair our development or commercialization efforts.</w:t>
      </w:r>
    </w:p>
    <w:p>
      <w:pPr>
        <w:spacing w:after="0" w:line="56"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We do not own or operate manufacturing facilities for the production of nonclinical, clinical or commercial supplies of the drug candidates that we are developing or evaluating in our development programs. We have limited personnel with experience in drug manufacturing and lack the resources and the capabilities to manufacture any of our drug candidates on a nonclinical, clinical or commercial scale. We rely on third parties for supply of our nonclinical and clinical drug supplies (including key starting and intermediate materials), and our strategy is to outsource all manufacturing of our drug candidates and products to third parties. A disruption or termination in the supply of nonclinical or clinical drug supplies due to our reliance on third parties and/or a disruption in the supply chain generally could delay, prevent or impair our development or commercialization efforts.</w:t>
      </w:r>
    </w:p>
    <w:p>
      <w:pPr>
        <w:spacing w:after="0" w:line="54"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In order to conduct clinical trials of drug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drug candidates may shorten the expiry of our drug candidates and lead to clinical trial material supply shortages, and potentially clinical trial delays. If these third-party manufacturers are unable to successfully scale up the manufacture of our drug candidates in sufficient quality and quantity, the development, testing and clinical trials of that drug candidate may be delayed or infeasible, and regulatory approval or commercial launch of that drug candidate may be delayed or not obtained, which could significantly harm our business.</w:t>
      </w:r>
    </w:p>
    <w:p>
      <w:pPr>
        <w:spacing w:after="0" w:line="55" w:lineRule="exact"/>
        <w:rPr>
          <w:sz w:val="20"/>
          <w:szCs w:val="20"/>
          <w:color w:val="auto"/>
        </w:rPr>
      </w:pPr>
    </w:p>
    <w:p>
      <w:pPr>
        <w:ind w:right="440" w:firstLine="509"/>
        <w:spacing w:after="0" w:line="270" w:lineRule="auto"/>
        <w:rPr>
          <w:sz w:val="20"/>
          <w:szCs w:val="20"/>
          <w:color w:val="auto"/>
        </w:rPr>
      </w:pPr>
      <w:r>
        <w:rPr>
          <w:rFonts w:ascii="Arial" w:cs="Arial" w:eastAsia="Arial" w:hAnsi="Arial"/>
          <w:sz w:val="17"/>
          <w:szCs w:val="17"/>
          <w:color w:val="auto"/>
        </w:rPr>
        <w:t>Our use of new third-party manufacturers increases the risk of delays in production or insufficient supplies of our drug candidates (and the key starting and intermediate materials for such drug candidates) as we transfer our manufacturing technology to these manufacturers and as they gain experience manufacturing our drug candidates (and the key starting and intermediate materials for such drug candidates).</w:t>
      </w:r>
    </w:p>
    <w:p>
      <w:pPr>
        <w:spacing w:after="0" w:line="56" w:lineRule="exact"/>
        <w:rPr>
          <w:sz w:val="20"/>
          <w:szCs w:val="20"/>
          <w:color w:val="auto"/>
        </w:rPr>
      </w:pPr>
    </w:p>
    <w:p>
      <w:pPr>
        <w:jc w:val="both"/>
        <w:ind w:right="140" w:firstLine="509"/>
        <w:spacing w:after="0" w:line="243" w:lineRule="auto"/>
        <w:rPr>
          <w:sz w:val="20"/>
          <w:szCs w:val="20"/>
          <w:color w:val="auto"/>
        </w:rPr>
      </w:pPr>
      <w:r>
        <w:rPr>
          <w:rFonts w:ascii="Arial" w:cs="Arial" w:eastAsia="Arial" w:hAnsi="Arial"/>
          <w:sz w:val="18"/>
          <w:szCs w:val="18"/>
          <w:color w:val="auto"/>
        </w:rPr>
        <w:t>Even after a third-party manufacturer has gained significant experience in manufacturing our drug candidates (or the key starting and intermediate materials for such drug candidates) or even if we believe we have succeeded in optimizing the manufacturing process, there can be no assurance that such manufacturer will produce sufficient quantities of our drug candidates (or the key starting and intermediate materials for such drug candidates) in a timely manner or continuously over time, or at all.</w:t>
      </w:r>
    </w:p>
    <w:p>
      <w:pPr>
        <w:spacing w:after="0" w:line="80" w:lineRule="exact"/>
        <w:rPr>
          <w:sz w:val="20"/>
          <w:szCs w:val="20"/>
          <w:color w:val="auto"/>
        </w:rPr>
      </w:pPr>
    </w:p>
    <w:p>
      <w:pPr>
        <w:ind w:right="20" w:firstLine="509"/>
        <w:spacing w:after="0" w:line="324" w:lineRule="auto"/>
        <w:rPr>
          <w:sz w:val="20"/>
          <w:szCs w:val="20"/>
          <w:color w:val="auto"/>
        </w:rPr>
      </w:pPr>
      <w:r>
        <w:rPr>
          <w:rFonts w:ascii="Arial" w:cs="Arial" w:eastAsia="Arial" w:hAnsi="Arial"/>
          <w:sz w:val="16"/>
          <w:szCs w:val="16"/>
          <w:color w:val="auto"/>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spacing w:after="0" w:line="3" w:lineRule="exact"/>
        <w:rPr>
          <w:sz w:val="20"/>
          <w:szCs w:val="20"/>
          <w:color w:val="auto"/>
        </w:rPr>
      </w:pPr>
    </w:p>
    <w:p>
      <w:pPr>
        <w:ind w:right="80" w:firstLine="509"/>
        <w:spacing w:after="0" w:line="219" w:lineRule="auto"/>
        <w:rPr>
          <w:sz w:val="20"/>
          <w:szCs w:val="20"/>
          <w:color w:val="auto"/>
        </w:rPr>
      </w:pPr>
      <w:r>
        <w:rPr>
          <w:rFonts w:ascii="Arial" w:cs="Arial" w:eastAsia="Arial" w:hAnsi="Arial"/>
          <w:sz w:val="18"/>
          <w:szCs w:val="18"/>
          <w:color w:val="auto"/>
        </w:rPr>
        <w:t>We do not currently have any agreements with third-party manufacturers for long-term commercial supply. In the future, we may be unable to enter into agreements with third-party manufacturers for commercial supplies of any drug candidate that we develop, or may be unable to do so on acceptable terms. Even if we are able to establish and maintain arrangements with third-party manufacturers, reliance on third-party manufacturers entails risks, including:</w:t>
      </w:r>
    </w:p>
    <w:p>
      <w:pPr>
        <w:spacing w:after="0" w:line="55"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2" w:name="page83"/>
    <w:bookmarkEnd w:id="82"/>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90" w:lineRule="exact"/>
        <w:rPr>
          <w:sz w:val="20"/>
          <w:szCs w:val="20"/>
          <w:color w:val="auto"/>
        </w:rPr>
      </w:pPr>
    </w:p>
    <w:p>
      <w:pPr>
        <w:ind w:right="280" w:firstLine="509"/>
        <w:spacing w:after="0" w:line="284" w:lineRule="auto"/>
        <w:rPr>
          <w:sz w:val="20"/>
          <w:szCs w:val="20"/>
          <w:color w:val="auto"/>
        </w:rPr>
      </w:pPr>
      <w:r>
        <w:rPr>
          <w:rFonts w:ascii="Arial" w:cs="Arial" w:eastAsia="Arial" w:hAnsi="Arial"/>
          <w:sz w:val="16"/>
          <w:szCs w:val="16"/>
          <w:color w:val="auto"/>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drug candidates or products, operating restrictions and/or criminal prosecutions, any of which could significantly and adversely affect supplies of our drug candidates.</w:t>
      </w:r>
    </w:p>
    <w:p>
      <w:pPr>
        <w:spacing w:after="0" w:line="47"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Our future drug candidates and any products that we may develop may compete with other drug candidates and products for access to manufacturing facilities. There are a limited number of manufacturers that operate under cGMP requirements and that might be capable of manufacturing for us.</w:t>
      </w:r>
    </w:p>
    <w:p>
      <w:pPr>
        <w:spacing w:after="0" w:line="16"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If the third parties that we engage to supply any materials or manufacture product for our nonclinical studies and clinical trials should cease to continue to do so for any reason, we likely would experience delays in advancing these studies and trials while we identify and qualify replacement suppliers or manufacturers and we may be unable to obtain replacement supplies on terms that are favorable to us or at all. In addition, if we are not able to obtain adequate supplies of our drug candidates or the substances used to manufacture them, it will be more difficult for us to develop our drug candidates and compete effectively.</w:t>
      </w:r>
    </w:p>
    <w:p>
      <w:pPr>
        <w:spacing w:after="0" w:line="81" w:lineRule="exact"/>
        <w:rPr>
          <w:sz w:val="20"/>
          <w:szCs w:val="20"/>
          <w:color w:val="auto"/>
        </w:rPr>
      </w:pPr>
    </w:p>
    <w:p>
      <w:pPr>
        <w:jc w:val="both"/>
        <w:ind w:right="360" w:firstLine="509"/>
        <w:spacing w:after="0" w:line="248" w:lineRule="auto"/>
        <w:rPr>
          <w:sz w:val="20"/>
          <w:szCs w:val="20"/>
          <w:color w:val="auto"/>
        </w:rPr>
      </w:pPr>
      <w:r>
        <w:rPr>
          <w:rFonts w:ascii="Arial" w:cs="Arial" w:eastAsia="Arial" w:hAnsi="Arial"/>
          <w:sz w:val="18"/>
          <w:szCs w:val="18"/>
          <w:color w:val="auto"/>
        </w:rPr>
        <w:t>Some of our third-party manufacturers which we use for the supply of materials for drug candidates or other materials necessary to manufacture product to conduct clinical trials are located in countries affected by COVID-19, and should they experience disruptions, such as temporary closures or suspension of services, we would likely experience delays in advancing our clinical development.</w:t>
      </w:r>
    </w:p>
    <w:p>
      <w:pPr>
        <w:spacing w:after="0" w:line="7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Our current and anticipated future dependence upon others for the manufacture of our drug candidates (or the key starting and intermediate materials for such drug candidates) may adversely affect our future profit margins and our ability to develop drug candidates and commercialize any products that receive marketing approval on a timely and competitive basis.</w:t>
      </w:r>
    </w:p>
    <w:p>
      <w:pPr>
        <w:spacing w:after="0" w:line="74" w:lineRule="exact"/>
        <w:rPr>
          <w:sz w:val="20"/>
          <w:szCs w:val="20"/>
          <w:color w:val="auto"/>
        </w:rPr>
      </w:pPr>
    </w:p>
    <w:p>
      <w:pPr>
        <w:jc w:val="both"/>
        <w:ind w:right="200"/>
        <w:spacing w:after="0" w:line="294" w:lineRule="auto"/>
        <w:rPr>
          <w:sz w:val="20"/>
          <w:szCs w:val="20"/>
          <w:color w:val="auto"/>
        </w:rPr>
      </w:pPr>
      <w:r>
        <w:rPr>
          <w:rFonts w:ascii="Arial" w:cs="Arial" w:eastAsia="Arial" w:hAnsi="Arial"/>
          <w:sz w:val="16"/>
          <w:szCs w:val="16"/>
          <w:b w:val="1"/>
          <w:bCs w:val="1"/>
          <w:i w:val="1"/>
          <w:iCs w:val="1"/>
          <w:color w:val="auto"/>
        </w:rPr>
        <w:t>Our future relationships with customers and third-party payors in the United States and elsewhere may be subject, directly or indirectly, to applicable anti-kickback, fraud and abuse, false claims, transparency, and other healthcare laws and regulations, which could expose us to criminal sanctions, civil penalties, contractual damages, reputational harm, administrative burdens and diminished profits and future earnings.</w:t>
      </w:r>
    </w:p>
    <w:p>
      <w:pPr>
        <w:spacing w:after="0" w:line="39"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Healthcare providers, physicians and third-party payors in the United States and elsewhere will play a primary role in the recommendation and prescription of any drug candidates for which we obtain marketing approval. Our future arrangements with third-party payors and customers may expose us to broadly applicable fraud and abuse and other healthcare laws and regulations, including, without limitation, the federal Anti-Kickback Statute and the federal False Claims Act (the FCA), which may constrain the business or financial arrangements and relationships through which we sell, market and distribute any products for which we obtain marketing approval. In addition, we may be subject to transparency laws by the U.S. federal and state governments and by governments in foreign jurisdictions in which we conduct our business. The applicable federal, state and foreign healthcare laws and regulations that may affect our ability to operate include:</w:t>
      </w:r>
    </w:p>
    <w:p>
      <w:pPr>
        <w:spacing w:after="0" w:line="72" w:lineRule="exact"/>
        <w:rPr>
          <w:sz w:val="20"/>
          <w:szCs w:val="20"/>
          <w:color w:val="auto"/>
        </w:rPr>
      </w:pPr>
    </w:p>
    <w:p>
      <w:pPr>
        <w:ind w:left="1020" w:right="100" w:hanging="503"/>
        <w:spacing w:after="0" w:line="239"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purchasers, and formulary managers on the other;</w:t>
      </w:r>
    </w:p>
    <w:p>
      <w:pPr>
        <w:spacing w:after="0" w:line="82"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FCA, which prohibit any person or entity from, among other things, knowingly presenting, or causing to be presented, a false, fictitious 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83" w:name="page84"/>
    <w:bookmarkEnd w:id="83"/>
    <w:p>
      <w:pPr>
        <w:ind w:left="1020" w:right="60"/>
        <w:spacing w:after="0" w:line="243" w:lineRule="auto"/>
        <w:rPr>
          <w:sz w:val="20"/>
          <w:szCs w:val="20"/>
          <w:color w:val="auto"/>
        </w:rPr>
      </w:pPr>
      <w:r>
        <w:rPr>
          <w:rFonts w:ascii="Arial" w:cs="Arial" w:eastAsia="Arial" w:hAnsi="Arial"/>
          <w:sz w:val="18"/>
          <w:szCs w:val="18"/>
          <w:color w:val="auto"/>
        </w:rPr>
        <w:t>fraudulent claim for payment to, or approval by,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FCA;</w:t>
      </w:r>
    </w:p>
    <w:p>
      <w:pPr>
        <w:spacing w:after="0" w:line="80" w:lineRule="exact"/>
        <w:rPr>
          <w:sz w:val="20"/>
          <w:szCs w:val="20"/>
          <w:color w:val="auto"/>
        </w:rPr>
      </w:pPr>
    </w:p>
    <w:p>
      <w:pPr>
        <w:ind w:left="1020" w:right="40" w:hanging="503"/>
        <w:spacing w:after="0" w:line="239"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w:t>
      </w:r>
    </w:p>
    <w:p>
      <w:pPr>
        <w:spacing w:after="0" w:line="82" w:lineRule="exact"/>
        <w:rPr>
          <w:rFonts w:ascii="Arial" w:cs="Arial" w:eastAsia="Arial" w:hAnsi="Arial"/>
          <w:sz w:val="18"/>
          <w:szCs w:val="18"/>
          <w:color w:val="auto"/>
        </w:rPr>
      </w:pPr>
    </w:p>
    <w:p>
      <w:pPr>
        <w:ind w:left="1020" w:right="140" w:hanging="503"/>
        <w:spacing w:after="0" w:line="276" w:lineRule="auto"/>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(including physician assistants, nurse practitioners, clinical nurse specialists, certified nurse anesthetists, anesthesiology assistants and certified nurse-midwives) and teaching hospitals, as well as ownership and investment interests held by physicians and their immediate family members;</w:t>
      </w:r>
    </w:p>
    <w:p>
      <w:pPr>
        <w:spacing w:after="0" w:line="53" w:lineRule="exact"/>
        <w:rPr>
          <w:rFonts w:ascii="Arial" w:cs="Arial" w:eastAsia="Arial" w:hAnsi="Arial"/>
          <w:sz w:val="16"/>
          <w:szCs w:val="16"/>
          <w:color w:val="auto"/>
        </w:rPr>
      </w:pPr>
    </w:p>
    <w:p>
      <w:pPr>
        <w:ind w:left="1020" w:right="22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18"/>
          <w:szCs w:val="18"/>
          <w:color w:val="auto"/>
        </w:rPr>
      </w:pPr>
    </w:p>
    <w:p>
      <w:pPr>
        <w:ind w:left="1020" w:right="20" w:hanging="503"/>
        <w:spacing w:after="0" w:line="239"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which may apply to sales or marketing arrangements and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laws in the EU and other jurisdictions, including reporting requirements detailing interactions with and payments to healthcare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7019925</wp:posOffset>
            </wp:positionH>
            <wp:positionV relativeFrom="paragraph">
              <wp:posOffset>-1446530</wp:posOffset>
            </wp:positionV>
            <wp:extent cx="285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63"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resource-consuming and can divert management’s attention from the business.</w:t>
      </w:r>
    </w:p>
    <w:p>
      <w:pPr>
        <w:spacing w:after="0" w:line="72"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of which could harm our ability to operate our business and our financial results. Further, if the physicians or other providers or entities with whom we expect to do business are found not to be in compliance with applicable laws, they may be subject to criminal, civil or administrative sanctions, including exclusions from government funded healthcare programs. In addition,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4" w:name="page85"/>
    <w:bookmarkEnd w:id="84"/>
    <w:p>
      <w:pPr>
        <w:ind w:right="580"/>
        <w:spacing w:after="0" w:line="261" w:lineRule="auto"/>
        <w:rPr>
          <w:sz w:val="20"/>
          <w:szCs w:val="20"/>
          <w:color w:val="auto"/>
        </w:rPr>
      </w:pPr>
      <w:r>
        <w:rPr>
          <w:rFonts w:ascii="Arial" w:cs="Arial" w:eastAsia="Arial" w:hAnsi="Arial"/>
          <w:sz w:val="18"/>
          <w:szCs w:val="18"/>
          <w:color w:val="auto"/>
        </w:rPr>
        <w:t>approval and commercialization of any drug candidate we develop outside the United States will also likely subject us to foreign equivalents of the healthcare laws mentioned above, among other foreign laws.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08"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spacing w:after="0" w:line="56" w:lineRule="exact"/>
        <w:rPr>
          <w:sz w:val="20"/>
          <w:szCs w:val="20"/>
          <w:color w:val="auto"/>
        </w:rPr>
      </w:pPr>
    </w:p>
    <w:p>
      <w:pPr>
        <w:ind w:firstLine="509"/>
        <w:spacing w:after="0" w:line="206" w:lineRule="exact"/>
        <w:rPr>
          <w:sz w:val="20"/>
          <w:szCs w:val="20"/>
          <w:color w:val="auto"/>
        </w:rPr>
      </w:pPr>
      <w:r>
        <w:rPr>
          <w:rFonts w:ascii="Arial" w:cs="Arial" w:eastAsia="Arial" w:hAnsi="Arial"/>
          <w:sz w:val="16"/>
          <w:szCs w:val="16"/>
          <w:color w:val="auto"/>
        </w:rPr>
        <w:t>Our success depends in significant part on our ability and the ability of our current or future collaborators and licensors to obtain, maintain, enforce and defend patents and other intellectual property rights with respect to our drug candidates and technology and to operate our business without infringing, misappropriating, or otherwise violating the intellectual property rights of others. If we and our current or future collaborators and licensors are unable to obtain and maintain sufficient intellectual property protection for our drug candidates or other drug candidates that we may identify, or if the scope of the intellectual property protection obtained is not sufficiently broad, our competitors and other third parties could develop and commercialize drug candidates similar or identical to ours, and our ability to successfully commercialize our drug candidates and other drug candidates that we may pursue may be impaired. While we own some issued or allowed patents with respect to our programs, including our CHB and NASH programs, we do not own or in-license any issued patents with claims that specifically recite our ALG</w:t>
      </w:r>
      <w:r>
        <w:rPr>
          <w:rFonts w:ascii="MS PGothic" w:cs="MS PGothic" w:eastAsia="MS PGothic" w:hAnsi="MS PGothic"/>
          <w:sz w:val="16"/>
          <w:szCs w:val="16"/>
          <w:color w:val="auto"/>
        </w:rPr>
        <w:t>‑</w:t>
      </w:r>
      <w:r>
        <w:rPr>
          <w:rFonts w:ascii="Arial" w:cs="Arial" w:eastAsia="Arial" w:hAnsi="Arial"/>
          <w:sz w:val="16"/>
          <w:szCs w:val="16"/>
          <w:color w:val="auto"/>
        </w:rPr>
        <w:t>020572 or ALG</w:t>
      </w:r>
      <w:r>
        <w:rPr>
          <w:rFonts w:ascii="MS PGothic" w:cs="MS PGothic" w:eastAsia="MS PGothic" w:hAnsi="MS PGothic"/>
          <w:sz w:val="16"/>
          <w:szCs w:val="16"/>
          <w:color w:val="auto"/>
        </w:rPr>
        <w:t>‑</w:t>
      </w:r>
      <w:r>
        <w:rPr>
          <w:rFonts w:ascii="Arial" w:cs="Arial" w:eastAsia="Arial" w:hAnsi="Arial"/>
          <w:sz w:val="16"/>
          <w:szCs w:val="16"/>
          <w:color w:val="auto"/>
        </w:rPr>
        <w:t>125755 drug candidates. We can provide no assurance that any of our other current or future patent applications will result in issued patents or that any issued patents will provide us with any competitive advantage. We cannot be certain that there is no invalidating prior art of which we and the patent examiner are unaware or that our interpretation of the relevance of prior art is correct. If a patent or patent application is determined to have an earlier priority date, it may prevent our patent applications from issuing at all or issuing in a form that provides any competitive advantage for our drug candidates. Failure to obtain additional issued patents could have a material adverse effect on our ability to develop and commercialize our drug candidates. Even if our patent applications do issue as patents, third parties may be able to challenge the validity and enforceability of our patents on a variety of grounds, including that such third party’s patents and patent applications have an earlier priority date, and if such challenges are successful, we may be required to obtain one or more licenses from such third parties, or be prohibited from commercializing our drug candidates.</w:t>
      </w:r>
    </w:p>
    <w:p>
      <w:pPr>
        <w:spacing w:after="0" w:line="266"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We seek to protect our proprietary positions by, among other things, filing patent applications in the United States and abroad related to our current drug candidates and other drug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Moreover, under certain of our license or collaboration agreements, we may not have the right to control the preparation, filing, prosecution and maintenance of patent applications, or to maintain the rights to patents licensed to or from third parties.</w:t>
      </w:r>
    </w:p>
    <w:p>
      <w:pPr>
        <w:spacing w:after="0" w:line="69" w:lineRule="exact"/>
        <w:rPr>
          <w:sz w:val="20"/>
          <w:szCs w:val="20"/>
          <w:color w:val="auto"/>
        </w:rPr>
      </w:pPr>
    </w:p>
    <w:p>
      <w:pPr>
        <w:ind w:right="60" w:firstLine="509"/>
        <w:spacing w:after="0" w:line="258" w:lineRule="auto"/>
        <w:rPr>
          <w:sz w:val="20"/>
          <w:szCs w:val="20"/>
          <w:color w:val="auto"/>
        </w:rPr>
      </w:pPr>
      <w:r>
        <w:rPr>
          <w:rFonts w:ascii="Arial" w:cs="Arial" w:eastAsia="Arial" w:hAnsi="Arial"/>
          <w:sz w:val="16"/>
          <w:szCs w:val="16"/>
          <w:color w:val="auto"/>
        </w:rPr>
        <w:t>We currently are the assignee of a number of U.S. provisional patent applications. U.S. provisional patent applications are not eligible to become issued patents until, among other things, we file a non-provisional patent application within 12 months of filing of one or more of our related provisional patent applications. With regard to such U.S. provisional patent applications, if we do not timely file any non-provisional patent applications, we may lose our priority dates with respect to our provisional patent applications and any patent protection on the inventions disclosed in our provisional patent applications. Further, in the event that we do timely file non-provisional patent applications relating to our provisional patent applications, we cannot predict whether any such patent applications will result in the issuance of patents or if such issued patents will provide us with any competitive advantage.</w:t>
      </w:r>
    </w:p>
    <w:p>
      <w:pPr>
        <w:spacing w:after="0" w:line="55" w:lineRule="exact"/>
        <w:rPr>
          <w:sz w:val="20"/>
          <w:szCs w:val="20"/>
          <w:color w:val="auto"/>
        </w:rPr>
      </w:pPr>
    </w:p>
    <w:p>
      <w:pPr>
        <w:ind w:right="20" w:firstLine="509"/>
        <w:spacing w:after="0" w:line="258" w:lineRule="auto"/>
        <w:rPr>
          <w:sz w:val="20"/>
          <w:szCs w:val="20"/>
          <w:color w:val="auto"/>
        </w:rPr>
      </w:pPr>
      <w:r>
        <w:rPr>
          <w:rFonts w:ascii="Arial" w:cs="Arial" w:eastAsia="Arial" w:hAnsi="Arial"/>
          <w:sz w:val="16"/>
          <w:szCs w:val="16"/>
          <w:color w:val="auto"/>
        </w:rPr>
        <w:t>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these agreements and disclose such output before a patent application is filed, thereby jeopardizing our ability to seek patent protection. Further, we may not be aware of all third-party intellectual property rights potentially relating to our drug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claimed in our patents or pending patent applications, or that we were the first to file for patent protection of such inventions.</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or eliminated before the patent issues, if at all, and its scope can be reinterpreted or narrowed after issuance. Therefore, our pending and future patent applications may not result in patents being issued in relevant jurisdictions that protect our drug candidates, in whole or in part, or that effectively prevent others from commercializing competitive drug candidates, and even if our patent applications issue as patents in relevant jurisdictions, they may not issue in a form that will provide us with any meaningful protection for our drug candidates or technology, prevent competitors from competing with us or otherwise provide us with any competitive advantage. Additionally, our competitors may be able to circumvent our patents by challenging their validity or by developing similar or alternative drug candidates or technologies in a non-infringing manner.</w:t>
      </w:r>
    </w:p>
    <w:p>
      <w:pPr>
        <w:spacing w:after="0" w:line="72"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(the USPTO), or become involved in opposition, derivation, revocation,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ability to sell our products free from infringing the patents of third parties, patent claims being narrowed, invalidated or held unenforceable, in whole or in part, and limitation of the scope or duration of the patents directed to our drug candidates, all of which could limit our ability to stop others from using or commercializing similar or identical drug candidates or technology to compete directly with us, without payment to us, or result in our inability to manufacture or commercialize drug candidates or approved products (if any) without infringing third-party patent rights. In addition, if the breadth or strength of the claims of our patents and patent applications is threatened, regardless of the outcome, it could dissuade companies from collaborating with us to license, develop or commercialize current or future drug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w:t>
      </w:r>
    </w:p>
    <w:p>
      <w:pPr>
        <w:spacing w:after="0" w:line="72"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licensed patents and owned or licensed patent applications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w:t>
      </w:r>
    </w:p>
    <w:p>
      <w:pPr>
        <w:spacing w:after="0" w:line="7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b w:val="1"/>
          <w:bCs w:val="1"/>
          <w:i w:val="1"/>
          <w:iCs w:val="1"/>
          <w:color w:val="auto"/>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80"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In addition to patent and other intellectual property rights we own or co-own, we have licensed, and may in the future license, patent and other intellectual property rights to and from other parties. In particular, we have in-licensed significant intellectual property rights from Emory and Luxna. Licenses may not provide us with exclusive rights to use the applicable intellectual property and technology in all relevant fields of use and in all territories in which we may wish to develop or commercialize our drug candidates, products (if approved) and technology in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future. As a result, we may not be able to prevent competitors from developing and commercializing competitive products or technologies.</w:t>
      </w:r>
    </w:p>
    <w:p>
      <w:pPr>
        <w:spacing w:after="0" w:line="212"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under the Luxna Agreement, we obtained a license from Luxna under patents relevant to certain aspects of our HBV programs as well as to various potential therapies, which we are pursuing to address SARS-CoV-2. Although we have review and comment rights regarding prosecution of patents that we license under the Luxna Agreement, Luxna retains ultimate decision-making control with respect to the prosecution of these patents. Additionally, under the Emory License Agreement, we obtained a license from Emory University under patents relevant to certain aspects of our small molecule CHB program. Although we direct prosecution of patents licensed under the Emory License Agreement, we are obligated to consult with Emory University with respect to prosecution of these patents and Emory and its counsel are responsible for making all filings related to such prosecution. Similarly, although we will control the prosecution of jointly developed patents resulting from our collaboration with the Rega Institute for Medical Research and the Centre for Drug Design and Discovery under the KU Leuven Agreement, we are obligated to consult with such parties with respect to prosecution of these patents. Consequently, any such licensed patents and applications may not be prepared, filed, prosecuted, maintained, enforced, and defended in a manner consistent with the best interests of our business. If our current or future licensors, licensees or collaborators fail to prepare, file, prosecute, maintain, enforce, and defend licensed patents and other intellectual property rights, such rights may be reduced or eliminated, and our right to develop and commercialize any of our drug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p>
    <w:p>
      <w:pPr>
        <w:spacing w:after="0" w:line="185"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If we fail to comply with our obligations, including the obligation to make various milestone payments and royalty payments, under any of the agreements under which we license intellectual property rights from third parties, such as the Emory License Agreement or Luxna Agreement, the licensor may have the right to terminate the license. Under some of our in-license agreements, as a sublicensee, we may be obligated to comply with applicable requirements, limitations or obligations of our sublicensors to other third parties. For example, the Luxna Agreement includes rights that Luxna in-licensed from Osaka University (Osaka), which are in turn sublicensed to us. Prior to granting such rights to Luxna, Osaka granted certain rights to third parties and therefore the rights we in-license from Luxna are subject to such third-party rights. Although we understand that these rights granted to such third parties are for uses outside the scope of our business, license agreements are complex, subject to multiple interpretations and disputes may arise regarding scope of such licensed rights. Further, under the Luxna Agreement and other in-licenses under which we sublicense certain rights, we rely on Luxna and our other sublicensors to comply with their obligations under their upstream license agreements, where we may have no relationship with the original licensor of such rights. If our sublicensors fail to comply with their obligations under their upstream license agreements, and the upstream license agreements are consequently terminated, such termination may result in the termination of our sublicenses.</w:t>
      </w:r>
    </w:p>
    <w:p>
      <w:pPr>
        <w:spacing w:after="0" w:line="186"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If any of our license agreements are terminated, the underlying licensed patents fail to provide the intended exclusivity or we otherwise experience disruptions to our business relationships with our licensors, we could lose intellectual property rights that are important to our business or be prevented from developing and commercializing our drug candidates, and competitors could have the freedom to seek regulatory approval of, and to market, products identical to ours. Termination of these agreements or reduction or 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drug candidates that rely on such agreements. It is possible that we may be unable to obtain any additional licenses at a reasonable cost or on reasonable terms, if at all. In that event, we may be required to expend significant time and resources to redesign our drug candidates or the methods for manufacturing them or to develop or license replacement technology, all of which may not be feasible on a technical or commercial basis.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7" w:name="page88"/>
    <w:bookmarkEnd w:id="87"/>
    <w:p>
      <w:pPr>
        <w:ind w:right="40" w:firstLine="509"/>
        <w:spacing w:after="0" w:line="253" w:lineRule="auto"/>
        <w:rPr>
          <w:sz w:val="20"/>
          <w:szCs w:val="20"/>
          <w:color w:val="auto"/>
        </w:rPr>
      </w:pPr>
      <w:r>
        <w:rPr>
          <w:rFonts w:ascii="Arial" w:cs="Arial" w:eastAsia="Arial" w:hAnsi="Arial"/>
          <w:sz w:val="17"/>
          <w:szCs w:val="17"/>
          <w:color w:val="auto"/>
        </w:rPr>
        <w:t>In addition, the research resulting in certain of our owned and in-licensed patent rights and technology may have been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spacing w:after="0" w:line="184" w:lineRule="exact"/>
        <w:rPr>
          <w:sz w:val="20"/>
          <w:szCs w:val="20"/>
          <w:color w:val="auto"/>
        </w:rPr>
      </w:pPr>
    </w:p>
    <w:p>
      <w:pPr>
        <w:jc w:val="both"/>
        <w:ind w:right="380" w:firstLine="509"/>
        <w:spacing w:after="0" w:line="248"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w:t>
      </w:r>
    </w:p>
    <w:p>
      <w:pPr>
        <w:spacing w:after="0" w:line="74" w:lineRule="exact"/>
        <w:rPr>
          <w:sz w:val="20"/>
          <w:szCs w:val="20"/>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0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and the extent to which technology and processes of one party infringe intellectual property of the other party that are not subject to the licensing agreement;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rights to sublicense patent and other rights to third parties;</w:t>
      </w:r>
    </w:p>
    <w:p>
      <w:pPr>
        <w:spacing w:after="0" w:line="103"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diligence obligations with respect to the use of the licensed technology in relation to development and commercialization of our drug candidates, and what activities satisfy those diligence obligations;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rights to transfer or assign the license;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effects of termination.</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If disputes over intellectual property that we have licensed prevent or impair our ability to maintain our current licensing arrangements on acceptable terms or at all, we may be unable to successfully develop and commercialize the affected drug candidates. Moreover, any dispute or disagreement with our licensing partners may result in the delay or termination of the research, development or commercialization of our drug candidates or any future drug candidates, and may result in costly litigation or arbitration that diverts management attention and resources away from our day-to-day activities, which may adversely affect our business, financial conditions, results of operations and prospects.</w:t>
      </w:r>
    </w:p>
    <w:p>
      <w:pPr>
        <w:spacing w:after="0" w:line="86"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Furthermore, current and future collaborators or strategic partners may develop, either alone or with others, products in related fields that are competitive with the products or potential products that are the subject of these collaborations. Competing products, either developed by our collaborators or strategic partners or to which the collaborators or strategic partners have rights, may result in the withdrawal of partner support for our drug candidates. Any of these developments could harm our product development efforts.</w:t>
      </w:r>
    </w:p>
    <w:p>
      <w:pPr>
        <w:spacing w:after="0" w:line="80"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the section titled “Business—License agreements and collaborations” of this report.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at all, our business could be harmed.</w:t>
      </w:r>
    </w:p>
    <w:p>
      <w:pPr>
        <w:spacing w:after="0" w:line="104"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It may be necessary for us to use the patented or proprietary technology of third parties to commercialize our products (if approved),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drug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or become non-exclusive, thereby giving our competitors access to the same technologies licensed to us. For example, under the Emory License Agreement we currently have an exclusive license with respect to certain patents and a non-exclusive license with respect to certain of Emory’s specified know-how. Beginning in June 2022, the license to such patents will become non-exclusive with respect to all fields except for the treatment and prevention of HBV. For more information regarding our license agreements, see the section titled “Business—License agreements and collaborations” of this report. Any of the foregoing could harm our competitive position, business, financial condition, results of operations and prospects.</w:t>
      </w:r>
    </w:p>
    <w:p>
      <w:pPr>
        <w:spacing w:after="0" w:line="64"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drug candidates.</w:t>
      </w:r>
    </w:p>
    <w:p>
      <w:pPr>
        <w:spacing w:after="0" w:line="39" w:lineRule="exact"/>
        <w:rPr>
          <w:sz w:val="20"/>
          <w:szCs w:val="20"/>
          <w:color w:val="auto"/>
        </w:rPr>
      </w:pPr>
    </w:p>
    <w:p>
      <w:pPr>
        <w:ind w:right="60" w:firstLine="509"/>
        <w:spacing w:after="0" w:line="268" w:lineRule="auto"/>
        <w:rPr>
          <w:sz w:val="20"/>
          <w:szCs w:val="20"/>
          <w:color w:val="auto"/>
        </w:rPr>
      </w:pPr>
      <w:r>
        <w:rPr>
          <w:rFonts w:ascii="Arial" w:cs="Arial" w:eastAsia="Arial" w:hAnsi="Arial"/>
          <w:sz w:val="16"/>
          <w:szCs w:val="16"/>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drug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drug candidates could have been filed by third parties without our knowledge. Additionally, pending patent applications that have been published can, subject to certain limitations, be later amended in a manner that could cover our drug candidates or the use of our drug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drug candidates. We may incorrectly determine that our drug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drug candidates. Our failure to identify and correctly interpret relevant patents may negatively impact our ability to develop and market our drug candidates.</w:t>
      </w:r>
    </w:p>
    <w:p>
      <w:pPr>
        <w:spacing w:after="0" w:line="67" w:lineRule="exact"/>
        <w:rPr>
          <w:sz w:val="20"/>
          <w:szCs w:val="20"/>
          <w:color w:val="auto"/>
        </w:rPr>
      </w:pPr>
    </w:p>
    <w:p>
      <w:pPr>
        <w:ind w:right="60" w:firstLine="509"/>
        <w:spacing w:after="0" w:line="207" w:lineRule="exact"/>
        <w:rPr>
          <w:sz w:val="20"/>
          <w:szCs w:val="20"/>
          <w:color w:val="auto"/>
        </w:rPr>
      </w:pPr>
      <w:r>
        <w:rPr>
          <w:rFonts w:ascii="Arial" w:cs="Arial" w:eastAsia="Arial" w:hAnsi="Arial"/>
          <w:sz w:val="18"/>
          <w:szCs w:val="18"/>
          <w:color w:val="auto"/>
        </w:rPr>
        <w:t>We are aware of certain third-party issued patents and pending patent applications, including those of our competitors, that, if issued with their current claim scope, may be construed to cover our drug candidates, including ALG</w:t>
      </w:r>
      <w:r>
        <w:rPr>
          <w:rFonts w:ascii="MS PGothic" w:cs="MS PGothic" w:eastAsia="MS PGothic" w:hAnsi="MS PGothic"/>
          <w:sz w:val="18"/>
          <w:szCs w:val="18"/>
          <w:color w:val="auto"/>
        </w:rPr>
        <w:t>‑</w:t>
      </w:r>
      <w:r>
        <w:rPr>
          <w:rFonts w:ascii="Arial" w:cs="Arial" w:eastAsia="Arial" w:hAnsi="Arial"/>
          <w:sz w:val="18"/>
          <w:szCs w:val="18"/>
          <w:color w:val="auto"/>
        </w:rPr>
        <w:t>055009 and ALG</w:t>
      </w:r>
      <w:r>
        <w:rPr>
          <w:rFonts w:ascii="MS PGothic" w:cs="MS PGothic" w:eastAsia="MS PGothic" w:hAnsi="MS PGothic"/>
          <w:sz w:val="18"/>
          <w:szCs w:val="18"/>
          <w:color w:val="auto"/>
        </w:rPr>
        <w:t>‑</w:t>
      </w:r>
      <w:r>
        <w:rPr>
          <w:rFonts w:ascii="Arial" w:cs="Arial" w:eastAsia="Arial" w:hAnsi="Arial"/>
          <w:sz w:val="18"/>
          <w:szCs w:val="18"/>
          <w:color w:val="auto"/>
        </w:rPr>
        <w:t>125755. In the event that any of these patents were asserted against us, we believe that we would have defenses against any such action, including that such patents are not valid. However, if any such patents were to be asserted against us and our defenses to such assertion were unsuccessful and alternative technology was not available or technologically or commercially practical, unless we obtain a license to such patents, we could be liable for damages, which could be significant and include treble damages and attorneys’ fees if we are found to willfully infringe such patents, and we could be precluded from commercializing any drug candidates that were ultimately held to infringe such patents.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9" w:name="page90"/>
    <w:bookmarkEnd w:id="89"/>
    <w:p>
      <w:pPr>
        <w:ind w:firstLine="509"/>
        <w:spacing w:after="0" w:line="257" w:lineRule="auto"/>
        <w:rPr>
          <w:sz w:val="20"/>
          <w:szCs w:val="20"/>
          <w:color w:val="auto"/>
        </w:rPr>
      </w:pPr>
      <w:r>
        <w:rPr>
          <w:rFonts w:ascii="Arial" w:cs="Arial" w:eastAsia="Arial" w:hAnsi="Arial"/>
          <w:sz w:val="17"/>
          <w:szCs w:val="17"/>
          <w:color w:val="auto"/>
        </w:rPr>
        <w:t>In addition, 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drug candidates that are held to be infringing. We might, if possible, also be forced to redesign drug candidates so that they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establish our competitive position on our drug candidates for an adequate amount of time.</w:t>
      </w:r>
    </w:p>
    <w:p>
      <w:pPr>
        <w:spacing w:after="0" w:line="104"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are obtained, once the patent life has expired for a drug candidate, we may be open to competition from competitive medications, including generic versions. Given the amount of time required for the development, testing and regulatory review of new drug candidates, patents directed towards such drug candidates might expire before or shortly after such drug candidates are commercialized. As a result, our owned and licensed patent portfolio may not provide us with sufficient rights to exclude others from commercializing drug candidates similar or identical to ours for a meaningful amount of time, or at all.</w:t>
      </w:r>
    </w:p>
    <w:p>
      <w:pPr>
        <w:spacing w:after="0" w:line="83"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auto"/>
        </w:rPr>
        <w:t>Depending upon the timing, duration and conditions of any FDA marketing approval of our drug candidates, one or more of our owned or licensed U.S. patents may be eligible for limited patent term extension under the Hatch-Waxman Act, and similar legislation in the EU and certain other countries. The Hatch-Waxman Act permits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for the approved drug, a method for using it or a method for manufacturing it may be extended. If we are unable to obtain patent term extension or the term of any such extension is less than we request, the period during which we can enforce our patent rights for the applicable drug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nonclinical data and launch their product earlier than might otherwise be the case, and our competitive position, business, financial condition, results of operations and prospects could be materially harmed.</w:t>
      </w:r>
    </w:p>
    <w:p>
      <w:pPr>
        <w:spacing w:after="0" w:line="72"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Further, there are detailed rules and requirements regarding the patents that may be submitted to the FDA for listing in the Orange Book. We may be unable to obtain patents covering our drug candidates that contain one or more claims that satisfy the requirements for listing in the Orange Book. Even if we submit a patent for listing in the Orange Book, the FDA may decline to list the patent, or a manufacturer of generic drugs may challenge the listing. If one of our drug candidates is approved and a patent covering that drug candidate is not listed in the Orange Book, a manufacturer of generic drugs would not have to provide advance notice to us of any abbreviated new drug application filed with the FDA to obtain permission to sell a generic version of such drug candidate. Any of the foregoing could harm our competitive position, business, financial condition, results of operations and prospects.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04" w:lineRule="exact"/>
        <w:rPr>
          <w:sz w:val="20"/>
          <w:szCs w:val="20"/>
          <w:color w:val="auto"/>
        </w:rPr>
      </w:pPr>
    </w:p>
    <w:p>
      <w:pPr>
        <w:ind w:right="120" w:firstLine="509"/>
        <w:spacing w:after="0" w:line="254" w:lineRule="auto"/>
        <w:rPr>
          <w:sz w:val="20"/>
          <w:szCs w:val="20"/>
          <w:color w:val="auto"/>
        </w:rPr>
      </w:pPr>
      <w:r>
        <w:rPr>
          <w:rFonts w:ascii="Arial" w:cs="Arial" w:eastAsia="Arial" w:hAnsi="Arial"/>
          <w:sz w:val="17"/>
          <w:szCs w:val="17"/>
          <w:color w:val="auto"/>
        </w:rPr>
        <w:t>Filing, prosecuting, maintaining, defending and enforcing patents on our drug candidates in all countries throughout the world would be prohibitively expensive, and consequently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patents to develop their own products and may export otherwise infringing products to territories where we have patents, but enforcement rights are not as strong as those in the United States. These products may compete with our drug candidates and our patents or other intellectual property rights may not be effective or sufficient to prevent them from competing.</w:t>
      </w:r>
    </w:p>
    <w:p>
      <w:pPr>
        <w:spacing w:after="0" w:line="7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83"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Many foreign countries, including some EU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and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drug candidates.</w:t>
      </w:r>
    </w:p>
    <w:p>
      <w:pPr>
        <w:spacing w:after="0" w:line="104"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collaborators’ or licensors’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collaborators’ or licensors’ ability to obtain patents in the future, as well as uncertainty with respect to the value of patents once obtained.</w:t>
      </w:r>
    </w:p>
    <w:p>
      <w:pPr>
        <w:spacing w:after="0" w:line="83"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 xml:space="preserve">Patent reform legislation could increase the uncertainties and costs surrounding the prosecution of our and our collaborators’ or licensors’ patent applications and the enforcement or defense of our or our collaborators’ or licensors’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The USPTO has developed new regulations and procedures to govern administration of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1" w:name="page92"/>
    <w:bookmarkEnd w:id="91"/>
    <w:p>
      <w:pPr>
        <w:ind w:right="80"/>
        <w:spacing w:after="0" w:line="257" w:lineRule="auto"/>
        <w:rPr>
          <w:sz w:val="20"/>
          <w:szCs w:val="20"/>
          <w:color w:val="auto"/>
        </w:rPr>
      </w:pPr>
      <w:r>
        <w:rPr>
          <w:rFonts w:ascii="Arial" w:cs="Arial" w:eastAsia="Arial" w:hAnsi="Arial"/>
          <w:sz w:val="17"/>
          <w:szCs w:val="17"/>
          <w:color w:val="auto"/>
        </w:rPr>
        <w:t>Leahy-Smith Act, and many of the substantive changes to patent law associated with the Leahy-Smith Act, particularly the first inventor-to-file provisions.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w:t>
      </w:r>
    </w:p>
    <w:p>
      <w:pPr>
        <w:spacing w:after="0" w:line="67" w:lineRule="exact"/>
        <w:rPr>
          <w:sz w:val="20"/>
          <w:szCs w:val="20"/>
          <w:color w:val="auto"/>
        </w:rPr>
      </w:pPr>
    </w:p>
    <w:p>
      <w:pPr>
        <w:ind w:right="360"/>
        <w:spacing w:after="0" w:line="356" w:lineRule="auto"/>
        <w:rPr>
          <w:sz w:val="20"/>
          <w:szCs w:val="20"/>
          <w:color w:val="auto"/>
        </w:rPr>
      </w:pPr>
      <w:r>
        <w:rPr>
          <w:rFonts w:ascii="Arial" w:cs="Arial" w:eastAsia="Arial" w:hAnsi="Arial"/>
          <w:sz w:val="15"/>
          <w:szCs w:val="15"/>
          <w:b w:val="1"/>
          <w:bCs w:val="1"/>
          <w:i w:val="1"/>
          <w:iCs w:val="1"/>
          <w:color w:val="auto"/>
        </w:rPr>
        <w:t>We may become involved in lawsuits to protect or enforce our patents or other intellectual property, which could be expensive, time-consuming and unsuccessful, and issued patents directed towards our technology and drug candidates could be found invalid or unenforceable if challenged.</w:t>
      </w:r>
    </w:p>
    <w:p>
      <w:pPr>
        <w:spacing w:after="0" w:line="1"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Competitors and other third parties may infringe or otherwise violate our issued patents or other intellectual property or the patents or other intellectual property of our licensors and collaborators. In addition, our patents or the patents of our licensors and collaborators may become involved in inventorship or priority disputes. To counter infringement or other unauthorized use, we may be required to file infringement claims, which can be expensive and time-consuming. Significantly, our pending patent applications cannot be enforced against third parties practicing the technology claimed in such applications unless and until a patent issues from such applications.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p>
    <w:p>
      <w:pPr>
        <w:spacing w:after="0" w:line="63" w:lineRule="exact"/>
        <w:rPr>
          <w:sz w:val="20"/>
          <w:szCs w:val="20"/>
          <w:color w:val="auto"/>
        </w:rPr>
      </w:pPr>
    </w:p>
    <w:p>
      <w:pPr>
        <w:ind w:right="40" w:firstLine="509"/>
        <w:spacing w:after="0" w:line="269" w:lineRule="auto"/>
        <w:rPr>
          <w:sz w:val="20"/>
          <w:szCs w:val="20"/>
          <w:color w:val="auto"/>
        </w:rPr>
      </w:pPr>
      <w:r>
        <w:rPr>
          <w:rFonts w:ascii="Arial" w:cs="Arial" w:eastAsia="Arial" w:hAnsi="Arial"/>
          <w:sz w:val="16"/>
          <w:szCs w:val="16"/>
          <w:color w:val="auto"/>
        </w:rPr>
        <w:t>If we were to initiate legal proceedings against a third party to enforce a patent directed to our drug candidates, or one of our future drug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drug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rights directed towards the applicable drug candidates or technology related to the patent rendered invalid or unenforceable. Such a loss of patent rights would materially harm our business, financial condition, results of operations and prospects.</w:t>
      </w:r>
    </w:p>
    <w:p>
      <w:pPr>
        <w:spacing w:after="0" w:line="60"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p>
    <w:p>
      <w:pPr>
        <w:spacing w:after="0" w:line="80"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2" w:name="page93"/>
    <w:bookmarkEnd w:id="92"/>
    <w:p>
      <w:pPr>
        <w:ind w:right="20" w:firstLine="509"/>
        <w:spacing w:after="0" w:line="271" w:lineRule="auto"/>
        <w:rPr>
          <w:sz w:val="20"/>
          <w:szCs w:val="20"/>
          <w:color w:val="auto"/>
        </w:rPr>
      </w:pPr>
      <w:r>
        <w:rPr>
          <w:rFonts w:ascii="Arial" w:cs="Arial" w:eastAsia="Arial" w:hAnsi="Arial"/>
          <w:sz w:val="16"/>
          <w:szCs w:val="16"/>
          <w:color w:val="auto"/>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drug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w:t>
      </w:r>
    </w:p>
    <w:p>
      <w:pPr>
        <w:spacing w:after="0" w:line="6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63"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Our commercial success depends upon our ability to develop, manufacture, market and sell our drug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drug candidates and their manufacture and our other technology, including reexamination, interference, post-grant review, inter partes review or derivation proceedings before the USPTO or an equivalent foreign body. Numerous U.S.- and foreign-issued patents and pending patent applications owned by third parties exist in the fields in which we are developing our drug candidates. Third parties may assert infringement claims against us based on existing patents or patents that may be granted in the future, regardless of their merit.</w:t>
      </w:r>
    </w:p>
    <w:p>
      <w:pPr>
        <w:spacing w:after="0" w:line="55"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Even if we believe third-party intellectual property claims are without merit, there is no assurance that a court would find in our favor on questions of claim scope, infringement, validity, enforceability or priority. A court of competent jurisdiction could hold that third-party patents asserted against us are valid, enforceable and infringed, which could materially and adversely affect our ability to commercialize any drug candidates we may develop and any other drug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or may become non-exclusive, thereby giving our competitors access to the same technologies licensed to us. We could be forced, including by court order, to cease commercializing the infringing technology or product. A finding of infringement could prevent us from commercializing our drug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drug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w:t>
      </w:r>
    </w:p>
    <w:p>
      <w:pPr>
        <w:spacing w:after="0" w:line="6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infringed, misappropriated or otherwise violated their intellectual property rights, or claiming ownership of what we regard as our own intellectual property.</w:t>
      </w:r>
    </w:p>
    <w:p>
      <w:pPr>
        <w:spacing w:after="0" w:line="63"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3" w:name="page94"/>
    <w:bookmarkEnd w:id="93"/>
    <w:p>
      <w:pPr>
        <w:ind w:right="160"/>
        <w:spacing w:after="0" w:line="243" w:lineRule="auto"/>
        <w:rPr>
          <w:sz w:val="20"/>
          <w:szCs w:val="20"/>
          <w:color w:val="auto"/>
        </w:rPr>
      </w:pPr>
      <w:r>
        <w:rPr>
          <w:rFonts w:ascii="Arial" w:cs="Arial" w:eastAsia="Arial" w:hAnsi="Arial"/>
          <w:sz w:val="18"/>
          <w:szCs w:val="18"/>
          <w:color w:val="auto"/>
        </w:rPr>
        <w:t>disclosed intellectual property, including trade secrets or other proprietary information, of any such individual’s former employer. We may also be subject to claims that patents and applications we have filed to protect inventions made on our behalf by our employees, consultants and advisors, even those related to one or more of our drug candidates, are rightfully owned by their former or concurrent employer. Litigation may be necessary to defend against these claims.</w:t>
      </w:r>
    </w:p>
    <w:p>
      <w:pPr>
        <w:spacing w:after="0" w:line="80"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drug candidates and be a distraction to management. Any of the foregoing events would harm our business, financial condition, results of operations and prospects.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04"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or collaborators may have inventorship disputes arising from conflicting obligations of employees, consultants or others who are involved in developing our drug candidates.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or collaborators’ ownership of our owned or in-licensed patents, trade secrets or other intellectual property. If we or our licensors or collaborators fail in defending any such claims, in addition to paying monetary damages, we may lose valuable intellectual property rights, such as exclusive ownership of, or right to use, intellectual property that is important to our drug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04"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The degree of future protection, if any, afforded by our intellectual property rights is uncertain because intellectual property rights have limitations and may not adequately protect our business or permit us to maintain our competitive advantage. For example:</w:t>
      </w:r>
    </w:p>
    <w:p>
      <w:pPr>
        <w:spacing w:after="0" w:line="63" w:lineRule="exact"/>
        <w:rPr>
          <w:sz w:val="20"/>
          <w:szCs w:val="20"/>
          <w:color w:val="auto"/>
        </w:rPr>
      </w:pPr>
    </w:p>
    <w:p>
      <w:pPr>
        <w:ind w:left="1020" w:right="32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drug candidates we may develop or utilize similar technology but that are not covered by the claims of the patents that we license or may own in the future;</w:t>
      </w:r>
    </w:p>
    <w:p>
      <w:pPr>
        <w:spacing w:after="0" w:line="62"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the issued patent or pending patent application that we license or may own in the future;</w:t>
      </w:r>
    </w:p>
    <w:p>
      <w:pPr>
        <w:spacing w:after="0" w:line="62"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our pending owned or licensed patent applications or those that we may own or license in the future will not lead to issued patents;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15" w:lineRule="exact"/>
        <w:rPr>
          <w:rFonts w:ascii="Arial" w:cs="Arial" w:eastAsia="Arial" w:hAnsi="Arial"/>
          <w:sz w:val="17"/>
          <w:szCs w:val="17"/>
          <w:color w:val="auto"/>
        </w:rPr>
      </w:pPr>
    </w:p>
    <w:p>
      <w:pPr>
        <w:ind w:left="1020" w:right="700" w:hanging="503"/>
        <w:spacing w:after="0" w:line="291"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94" w:name="page95"/>
    <w:bookmarkEnd w:id="94"/>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intellectual property rights of others may harm our business; and</w:t>
      </w:r>
    </w:p>
    <w:p>
      <w:pPr>
        <w:spacing w:after="0" w:line="103"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directed to such intellectual property.</w:t>
      </w:r>
    </w:p>
    <w:p>
      <w:pPr>
        <w:spacing w:after="0" w:line="63" w:lineRule="exact"/>
        <w:rPr>
          <w:sz w:val="20"/>
          <w:szCs w:val="20"/>
          <w:color w:val="auto"/>
        </w:rPr>
      </w:pPr>
    </w:p>
    <w:p>
      <w:pPr>
        <w:ind w:right="2060" w:firstLine="509"/>
        <w:spacing w:after="0" w:line="381" w:lineRule="auto"/>
        <w:rPr>
          <w:sz w:val="20"/>
          <w:szCs w:val="20"/>
          <w:color w:val="auto"/>
        </w:rPr>
      </w:pPr>
      <w:r>
        <w:rPr>
          <w:rFonts w:ascii="Arial" w:cs="Arial" w:eastAsia="Arial" w:hAnsi="Arial"/>
          <w:sz w:val="17"/>
          <w:szCs w:val="17"/>
          <w:color w:val="auto"/>
        </w:rPr>
        <w:t xml:space="preserve">Should any of these events occur, they could harm our business, financial condition, results of operations and prospects. </w:t>
      </w:r>
      <w:r>
        <w:rPr>
          <w:rFonts w:ascii="Arial" w:cs="Arial" w:eastAsia="Arial" w:hAnsi="Arial"/>
          <w:sz w:val="17"/>
          <w:szCs w:val="17"/>
          <w:b w:val="1"/>
          <w:bCs w:val="1"/>
          <w:color w:val="auto"/>
        </w:rPr>
        <w:t>Risks related to employee matters, managing our growth and other risks related to our business</w:t>
      </w:r>
    </w:p>
    <w:p>
      <w:pPr>
        <w:jc w:val="both"/>
        <w:ind w:right="80"/>
        <w:spacing w:after="0" w:line="261"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3" w:lineRule="exact"/>
        <w:rPr>
          <w:sz w:val="20"/>
          <w:szCs w:val="20"/>
          <w:color w:val="auto"/>
        </w:rPr>
      </w:pPr>
    </w:p>
    <w:p>
      <w:pPr>
        <w:jc w:val="both"/>
        <w:ind w:right="80" w:firstLine="509"/>
        <w:spacing w:after="0" w:line="294" w:lineRule="auto"/>
        <w:rPr>
          <w:sz w:val="20"/>
          <w:szCs w:val="20"/>
          <w:color w:val="auto"/>
        </w:rPr>
      </w:pPr>
      <w:r>
        <w:rPr>
          <w:rFonts w:ascii="Arial" w:cs="Arial" w:eastAsia="Arial" w:hAnsi="Arial"/>
          <w:sz w:val="16"/>
          <w:szCs w:val="16"/>
          <w:color w:val="auto"/>
        </w:rPr>
        <w:t>We are highly dependent on our management, scientific and medical personnel, including our Chief Executive Officer, Dr. Blatt, and our President, Dr. Beigelman. The loss of the services of any of them may adversely impact the achievement of our objectives. Any of our executive officers could leave our employment at any time, as all of our employees are “at-will” employees. We currently do not have “key person” insurance on any of our employees.</w:t>
      </w:r>
    </w:p>
    <w:p>
      <w:pPr>
        <w:spacing w:after="0" w:line="3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nonclinical studies, clinical trials or applications for marketing approval may make it more challenging to recruit and retain qualified personnel. The inability to recruit, or the loss of services of certain executives, significant employees, consultants or advisors, may impede the progress of our research, development and commercialization objectives and have a material adverse effect on our business, financial condition, results of operations and prospects.</w:t>
      </w:r>
    </w:p>
    <w:p>
      <w:pPr>
        <w:spacing w:after="0" w:line="8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We currently have no sales organization. If we are unable to establish sales capabilities on our own or through third parties, we may not be able to market and sell any products effectively, if approved, or generate product revenue.</w:t>
      </w:r>
    </w:p>
    <w:p>
      <w:pPr>
        <w:spacing w:after="0" w:line="63"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auto"/>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drug candidates receiving regulatory approval, we expect to establish a sales organization with technical expertise and supporting distribution capabilities to commercialize each such drug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our drug candidates.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drug candidates. If we are not successful in commercializing products, either on our own or through arrangements with one or more third parties, we may not be able to generate any future product revenue and we would incur significant additional losses.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104"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As of December 31, 2021, we had 93 full-time employees, including 75 employees engaged in research and development. 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80" w:lineRule="exact"/>
        <w:rPr>
          <w:sz w:val="20"/>
          <w:szCs w:val="20"/>
          <w:color w:val="auto"/>
        </w:rPr>
      </w:pPr>
    </w:p>
    <w:p>
      <w:pPr>
        <w:ind w:left="5540" w:right="4020" w:hanging="5023"/>
        <w:spacing w:after="0" w:line="512" w:lineRule="auto"/>
        <w:tabs>
          <w:tab w:leader="none" w:pos="1033"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95" w:name="page96"/>
    <w:bookmarkEnd w:id="95"/>
    <w:p>
      <w:pPr>
        <w:ind w:left="1020" w:hanging="503"/>
        <w:spacing w:after="0" w:line="291" w:lineRule="auto"/>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FDA review process for our current drug candidates and any other drug candidate we develop, while complying with our contractual obligations to contractors and other third parties; and</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expanding and enhancing our operational, financial and management controls, reporting systems and procedures.</w:t>
      </w:r>
    </w:p>
    <w:p>
      <w:pPr>
        <w:spacing w:after="0" w:line="104"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Our future financial performance and our ability to advance development of and, if approved, commercialize our current drug candidates and any other drug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80"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including substantially all aspects of marketing, clinical management, and manufacturing. We cannot assure you that the services of independent organizations, advisors and consultants will continue to be available to us on a timely basis when needed or at a reasonable cost, or that we can find qualified replacements. In addition, if we are unable to effectively manage our outsourced activities or if the quality or accuracy of the services provided by consultants is compromised for any reason, our nonclinical studies and clinical trials may be extended, delayed or terminated, and we may not be able to obtain marketing approval of any current or future drug candidates or otherwise advance our business. We cannot assure you that we will be able to manage our existing consultants or find other competent outside contractors and consultants on economically reasonable terms, or at all.</w:t>
      </w:r>
    </w:p>
    <w:p>
      <w:pPr>
        <w:spacing w:after="0" w:line="55"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If we are not able to effectively expand our organization by hiring new employees and expanding our groups of consultants and contractors, we may experience delays or may not be able to successfully implement the tasks necessary to further develop and commercialize our current drug candidates and any future drug candidates we develop and, accordingly, may not achieve our research, development and commercialization goals.</w:t>
      </w:r>
    </w:p>
    <w:p>
      <w:pPr>
        <w:spacing w:after="0" w:line="5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3" w:lineRule="exact"/>
        <w:rPr>
          <w:sz w:val="20"/>
          <w:szCs w:val="20"/>
          <w:color w:val="auto"/>
        </w:rPr>
      </w:pPr>
    </w:p>
    <w:p>
      <w:pPr>
        <w:ind w:right="240" w:firstLine="509"/>
        <w:spacing w:after="0" w:line="276"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cannot eliminate the risk of contamination or injury from these materials, and we generally contract with third parties for the disposal of these materials and wastes. In the event of contamination or injury resulting from our use or third-party disposal of hazardous materials, we could be held liable for any resulting damages, and any liability could exceed our resources. We also could incur significant costs associated with civil or criminal fines and penalties.</w:t>
      </w:r>
    </w:p>
    <w:p>
      <w:pPr>
        <w:spacing w:after="0" w:line="5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and as such we would have to pay the full amount of any resultant liability out of pocket, which could significantly impair our financial condition.</w:t>
      </w:r>
    </w:p>
    <w:p>
      <w:pPr>
        <w:spacing w:after="0" w:line="8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63" w:lineRule="exact"/>
        <w:rPr>
          <w:sz w:val="20"/>
          <w:szCs w:val="20"/>
          <w:color w:val="auto"/>
        </w:rPr>
      </w:pPr>
    </w:p>
    <w:p>
      <w:pPr>
        <w:ind w:firstLine="509"/>
        <w:spacing w:after="0" w:line="207" w:lineRule="exact"/>
        <w:rPr>
          <w:sz w:val="20"/>
          <w:szCs w:val="20"/>
          <w:color w:val="auto"/>
        </w:rPr>
      </w:pPr>
      <w:r>
        <w:rPr>
          <w:rFonts w:ascii="Arial" w:cs="Arial" w:eastAsia="Arial" w:hAnsi="Arial"/>
          <w:sz w:val="16"/>
          <w:szCs w:val="16"/>
          <w:color w:val="auto"/>
        </w:rPr>
        <w:t>Our corporate headquarters and other facilities are located in the San Francisco Bay Area, which in the past has experienced both severe earthquakes and wildfires. We are also conducting our initial clinical trials for ALG</w:t>
      </w:r>
      <w:r>
        <w:rPr>
          <w:rFonts w:ascii="MS PGothic" w:cs="MS PGothic" w:eastAsia="MS PGothic" w:hAnsi="MS PGothic"/>
          <w:sz w:val="16"/>
          <w:szCs w:val="16"/>
          <w:color w:val="auto"/>
        </w:rPr>
        <w:t>‑</w:t>
      </w:r>
      <w:r>
        <w:rPr>
          <w:rFonts w:ascii="Arial" w:cs="Arial" w:eastAsia="Arial" w:hAnsi="Arial"/>
          <w:sz w:val="16"/>
          <w:szCs w:val="16"/>
          <w:color w:val="auto"/>
        </w:rPr>
        <w:t>000184 and ALG-020572 in New Zealand, an area also known for earthquakes. We do not carry earthquake insurance, and as such we would have to pay the full amount of any resultant liability out of pocket, which could significantly impair our financial condition. In addition, earthquakes, wildfires or other natural disasters could severely disrupt our operations. 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that delayed our clinical trials,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96" w:name="page97"/>
    <w:bookmarkEnd w:id="96"/>
    <w:p>
      <w:pPr>
        <w:ind w:right="20"/>
        <w:spacing w:after="0" w:line="276" w:lineRule="auto"/>
        <w:rPr>
          <w:sz w:val="20"/>
          <w:szCs w:val="20"/>
          <w:color w:val="auto"/>
        </w:rPr>
      </w:pPr>
      <w:r>
        <w:rPr>
          <w:rFonts w:ascii="Arial" w:cs="Arial" w:eastAsia="Arial" w:hAnsi="Arial"/>
          <w:sz w:val="16"/>
          <w:szCs w:val="16"/>
          <w:color w:val="auto"/>
        </w:rPr>
        <w:t>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results of operations, financial condition and prospects. Furthermore, integral parties in our supply chain are similarly vulnerable to natural disasters or other sudden, unforeseen and severe adverse events. If such an event were to affect our supply chain, it could have a material adverse effect on our business.</w:t>
      </w:r>
    </w:p>
    <w:p>
      <w:pPr>
        <w:spacing w:after="0" w:line="53"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b w:val="1"/>
          <w:bCs w:val="1"/>
          <w:i w:val="1"/>
          <w:iCs w:val="1"/>
          <w:color w:val="auto"/>
        </w:rPr>
        <w:t>Our employees, independent contractors, vendors, principal investigators, CROs, consultants and collaborators may engage in misconduct or other improper activities, including non-compliance with regulatory standards and requirements and insider trading.</w:t>
      </w:r>
    </w:p>
    <w:p>
      <w:pPr>
        <w:spacing w:after="0" w:line="39"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We are exposed to the risk that our employees, independent contractors, vendors, principal investigators, CROs, consultants and collaborators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nonclinical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investors.</w:t>
      </w:r>
    </w:p>
    <w:p>
      <w:pPr>
        <w:spacing w:after="0" w:line="104"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Our stock price is likely to be volatile. The stock market in general and the market for biopharmaceutical companies in particular have experienced extreme volatility that has often been unrelated to the operating performance of particular companies. The ongoing COVID-19 pandemic, for example, has negatively affected the stock market and investor sentiment and has resulted in significant volatility. The market price for our common stock may be influenced by many factors, including:</w:t>
      </w:r>
    </w:p>
    <w:p>
      <w:pPr>
        <w:spacing w:after="0" w:line="80" w:lineRule="exact"/>
        <w:rPr>
          <w:sz w:val="20"/>
          <w:szCs w:val="20"/>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success of our and competitive products or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results of clinical trials and nonclinical studies or those of our competitors;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level of expenses related to our drug candidates or clinical development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drug candidates;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7" w:name="page98"/>
    <w:bookmarkEnd w:id="97"/>
    <w:p>
      <w:pPr>
        <w:ind w:left="1020" w:hanging="503"/>
        <w:spacing w:after="0"/>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general economic, political, and market conditions and overall fluctuations in the financial markets in the United States and abroad;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COVID-19 pandemic;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w:t>
      </w:r>
    </w:p>
    <w:p>
      <w:pPr>
        <w:spacing w:after="0" w:line="212"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74"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further negative effect on the market price of our common stock.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04"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Prior to our initial public offering in October 2020, there was no public market for shares of our common stock and an active trading market for our shares may not be sustained. In the absence of an active trading market for our common stock, investors may not be able to sell their common stock at a price or at the time that they would like to sell.</w:t>
      </w:r>
    </w:p>
    <w:p>
      <w:pPr>
        <w:spacing w:after="0" w:line="74" w:lineRule="exact"/>
        <w:rPr>
          <w:sz w:val="20"/>
          <w:szCs w:val="20"/>
          <w:color w:val="auto"/>
        </w:rPr>
      </w:pPr>
    </w:p>
    <w:p>
      <w:pPr>
        <w:ind w:right="620" w:firstLine="509"/>
        <w:spacing w:after="0" w:line="261" w:lineRule="auto"/>
        <w:rPr>
          <w:sz w:val="20"/>
          <w:szCs w:val="20"/>
          <w:color w:val="auto"/>
        </w:rPr>
      </w:pPr>
      <w:r>
        <w:rPr>
          <w:rFonts w:ascii="Arial" w:cs="Arial" w:eastAsia="Arial" w:hAnsi="Arial"/>
          <w:sz w:val="18"/>
          <w:szCs w:val="18"/>
          <w:color w:val="auto"/>
        </w:rPr>
        <w:t>An inactive market may also impair our ability to raise capital by selling shares and may impair our ability to acquire other drug candidates, businesses, or technologies using our shares as consideration.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0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Therefore, investors are not likely to receive any dividends on common stock owned by them for the foreseeable future. Since we do not intend to pay dividends, an investor’s ability to receive a return on its investment will depend on any future appreciation in the market value of our common stock. There is no guarantee that our common stock will appreciate or even maintain the price at which our holders purchased it.</w:t>
      </w:r>
    </w:p>
    <w:p>
      <w:pPr>
        <w:spacing w:after="0" w:line="81"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39"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We are an emerging growth company, as defined in the Jumpstart Our Business Startups Act of 2012 (the JOBS Act). For as long as we continue to be an emerging growth company, we may take advantage of exemptions from various reporting requirements that are applicable to other public companies that are not emerging growth companies, including the auditor attestation requirements of Section 404 of the Sarbanes-Oxley Act, certain disclosure obligations regarding executive compensation and the requirements of holding nonbinding advisory votes on executive compensation and stockholder approval of any golden parachute payments not previously approved. We could be an emerging growth company for up to five years following the year of our IPO, although circumstances could cause us to lose that status earlier. We will remain an emerging growth company until the earlier of (1) the last day of the fiscal year (a) following the fifth anniversary of the completion of our IPO, (b) in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98" w:name="page99"/>
    <w:bookmarkEnd w:id="98"/>
    <w:p>
      <w:pPr>
        <w:ind w:right="60"/>
        <w:spacing w:after="0" w:line="248" w:lineRule="auto"/>
        <w:rPr>
          <w:sz w:val="20"/>
          <w:szCs w:val="20"/>
          <w:color w:val="auto"/>
        </w:rPr>
      </w:pPr>
      <w:r>
        <w:rPr>
          <w:rFonts w:ascii="Arial" w:cs="Arial" w:eastAsia="Arial" w:hAnsi="Arial"/>
          <w:sz w:val="18"/>
          <w:szCs w:val="18"/>
          <w:color w:val="auto"/>
        </w:rPr>
        <w:t>which we have total annual gross revenue of at least $1.07 billion or (c) in which we are deemed to be a large accelerated filer, which requires the market value of our common stock that is held by non-affiliates to exceed $700.0 million as of the prior June 30th, and (2) the date on which we have issued more than $1.0 billion in non-convertible debt during the prior three-year period.</w:t>
      </w:r>
    </w:p>
    <w:p>
      <w:pPr>
        <w:spacing w:after="0" w:line="7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elected to use the extended transition period for any other new or revised accounting standards during the period in which we remain an emerging growth company; however, we may adopt certain new or revised accounting standards early.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66"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Even after we no longer qualify as an emerging growth company, we may continue to qualify as a smaller reporting company, which would allow us to rely on certain reduced disclosure requirements, such as an exemption from providing selected financial data and executive compensation information. We are also exempt from the requirement to obtain an external audit on the effectiveness of internal control over financial reporting provided in Section 404(b) of the Sarbanes-Oxley Act. These exemptions and reduced disclosures due to our status as a smaller reporting company mean that our auditors do not review our internal controls over financial reporting and may make it harder for investors to analyze our results of operations and financial prospects.</w:t>
      </w:r>
    </w:p>
    <w:p>
      <w:pPr>
        <w:spacing w:after="0" w:line="51"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as an emerging growth company and a smaller reporting company. If some investors find our common stock less attractive as a result, there may be a less active trading market for our common stock and our stock price may be more volatile.</w:t>
      </w:r>
    </w:p>
    <w:p>
      <w:pPr>
        <w:spacing w:after="0" w:line="7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Our executive officers, directors and their affiliates have significant influence over our company, which will limit an investor’s ability to influence corporate matters and could delay or prevent a change in corporate control.</w:t>
      </w:r>
    </w:p>
    <w:p>
      <w:pPr>
        <w:spacing w:after="0" w:line="63"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As of December 31, 2021, our executive officers, directors and their affiliates beneficially own, in the aggregate, approximately 43.2% of our outstanding common stock (assuming all shares of non-voting common stock are converted into voting common stock in accordance with the terms of our amended and restated certificate of incorporation).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p>
    <w:p>
      <w:pPr>
        <w:spacing w:after="0" w:line="51" w:lineRule="exact"/>
        <w:rPr>
          <w:sz w:val="20"/>
          <w:szCs w:val="20"/>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10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The dual class structure of our common stock may limit the ability to influence corporate matters and may limit the visibility with respect to certain transactions.</w:t>
      </w:r>
    </w:p>
    <w:p>
      <w:pPr>
        <w:spacing w:after="0" w:line="63"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The dual class structure of our common stock may limit an investor’s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amended and restated certificate of incorporation. Consequently, the exercise by holders of our non-voting common stock of their option to make this conversion will have the effect of increasing the relative voting power of such holders, and correspondingly decreasing the voting power of the holders of our common stock, which may limit an investor’s ability to influence corporate matters. As of December 31, 2021, we had 3,092,338 shares of non-voting common stock outstanding. Additionally, stockholders who hold, in the aggregate, more than 10% of our common stock and non-voting common stock, but 10% or less of our common stock, and are not otherwise a company insider, may not be required to report changes in their ownership due to transactions in our non-voting common stock pursuant to Section 16(a) of the Exchange Act of 1934, as amended</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(the Exchange Act), and may not be subject to the short-swing profit provisions of Section 16(b) of the Exchange Act.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04"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the market price of our common stock could decline.</w:t>
      </w:r>
    </w:p>
    <w:p>
      <w:pPr>
        <w:spacing w:after="0" w:line="63"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As of December 31, 2021 approximately 9,133,012 shares of common stock that are either subject to outstanding options or reserved for future issuance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spacing w:after="0" w:line="80"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In addition, the holders of approximately 42.7 million of our total common stock and non-voting common stock are entitled to rights with respect to the registration of their shares under the Securities Act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Under Sections 382 and 383 of the Internal Revenue Code of 1986, as amended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(NOL) carryforwards and other pre-change tax attributes to offset its post-change income may be limited. We performed an IRC Section 382 analysis in 2021 and determined there was an ownership change that resulted in Section 382 limitations. The ownership change limited our ability to utilize net operating losses against future taxable income but will not result in the expiration of any NOLs. We may have experienced additional ownership changes in the past and may in the future experience ownership changes as a result of changes in our stock ownership (some of which are not in our control). In addition, under current tax law, federal NOL carryforwards generated in periods after December 31, 2017, may be carried forward indefinitely but, in taxable years beginning after December 31, 2020, may only be used to offset 80% of our taxable income. For these reasons, our ability to utilize our NOL carryforwards and other tax attributes to reduce future tax liabilities may be limited.</w:t>
      </w:r>
    </w:p>
    <w:p>
      <w:pPr>
        <w:spacing w:after="0" w:line="8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3"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If no or few analysts commence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80" w:lineRule="exact"/>
        <w:rPr>
          <w:sz w:val="20"/>
          <w:szCs w:val="20"/>
          <w:color w:val="auto"/>
        </w:rPr>
      </w:pPr>
    </w:p>
    <w:p>
      <w:pPr>
        <w:ind w:right="60"/>
        <w:spacing w:after="0" w:line="356" w:lineRule="auto"/>
        <w:rPr>
          <w:sz w:val="20"/>
          <w:szCs w:val="20"/>
          <w:color w:val="auto"/>
        </w:rPr>
      </w:pPr>
      <w:r>
        <w:rPr>
          <w:rFonts w:ascii="Arial" w:cs="Arial" w:eastAsia="Arial" w:hAnsi="Arial"/>
          <w:sz w:val="15"/>
          <w:szCs w:val="15"/>
          <w:b w:val="1"/>
          <w:bCs w:val="1"/>
          <w:i w:val="1"/>
          <w:iCs w:val="1"/>
          <w:color w:val="auto"/>
        </w:rPr>
        <w:t>If we fail to implement and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Pursuant to Section 404 of Sarbanes-Oxley, our management will be required to report upon the effectiveness of our internal control over financial reporting beginning with this annual report, for our fiscal year ended December 31, 2021.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 all of which will entail additional expense.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0" w:name="page101"/>
    <w:bookmarkEnd w:id="100"/>
    <w:p>
      <w:pPr>
        <w:ind w:right="40" w:firstLine="509"/>
        <w:spacing w:after="0" w:line="274" w:lineRule="auto"/>
        <w:rPr>
          <w:sz w:val="20"/>
          <w:szCs w:val="20"/>
          <w:color w:val="auto"/>
        </w:rPr>
      </w:pPr>
      <w:r>
        <w:rPr>
          <w:rFonts w:ascii="Arial" w:cs="Arial" w:eastAsia="Arial" w:hAnsi="Arial"/>
          <w:sz w:val="16"/>
          <w:szCs w:val="16"/>
          <w:color w:val="auto"/>
        </w:rPr>
        <w:t>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5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63" w:lineRule="exact"/>
        <w:rPr>
          <w:sz w:val="20"/>
          <w:szCs w:val="20"/>
          <w:color w:val="auto"/>
        </w:rPr>
      </w:pPr>
    </w:p>
    <w:p>
      <w:pPr>
        <w:ind w:right="240" w:firstLine="509"/>
        <w:spacing w:after="0" w:line="291"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changes in control or changes in our management without the consent of our board of directors. These provisions include the following:</w:t>
      </w:r>
    </w:p>
    <w:p>
      <w:pPr>
        <w:spacing w:after="0" w:line="39" w:lineRule="exact"/>
        <w:rPr>
          <w:sz w:val="20"/>
          <w:szCs w:val="20"/>
          <w:color w:val="auto"/>
        </w:rPr>
      </w:pPr>
    </w:p>
    <w:p>
      <w:pPr>
        <w:ind w:left="1020" w:right="260" w:hanging="503"/>
        <w:spacing w:after="0" w:line="261"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03" w:lineRule="exact"/>
        <w:rPr>
          <w:rFonts w:ascii="Arial" w:cs="Arial" w:eastAsia="Arial" w:hAnsi="Arial"/>
          <w:sz w:val="18"/>
          <w:szCs w:val="18"/>
          <w:color w:val="auto"/>
        </w:rPr>
      </w:pPr>
    </w:p>
    <w:p>
      <w:pPr>
        <w:ind w:left="1020" w:right="500" w:hanging="503"/>
        <w:spacing w:after="0" w:line="324" w:lineRule="auto"/>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6" w:lineRule="exact"/>
        <w:rPr>
          <w:rFonts w:ascii="Arial" w:cs="Arial" w:eastAsia="Arial" w:hAnsi="Arial"/>
          <w:sz w:val="16"/>
          <w:szCs w:val="16"/>
          <w:color w:val="auto"/>
        </w:rPr>
      </w:pPr>
    </w:p>
    <w:p>
      <w:pPr>
        <w:jc w:val="both"/>
        <w:ind w:left="1020" w:right="100" w:hanging="503"/>
        <w:spacing w:after="0" w:line="248"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03" w:lineRule="exact"/>
        <w:rPr>
          <w:rFonts w:ascii="Arial" w:cs="Arial" w:eastAsia="Arial" w:hAnsi="Arial"/>
          <w:sz w:val="18"/>
          <w:szCs w:val="18"/>
          <w:color w:val="auto"/>
        </w:rPr>
      </w:pPr>
    </w:p>
    <w:p>
      <w:pPr>
        <w:ind w:left="1020" w:right="140" w:hanging="503"/>
        <w:spacing w:after="0" w:line="248"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73"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1020" w:right="120" w:hanging="503"/>
        <w:spacing w:after="0" w:line="248"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our chief executive officer or, in the absence of a chief executive officer, president or by the board of directors, which may delay the ability of our stockholders to force consideration of a proposal or to take action, including the removal of directors; and</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74"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7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3"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01" w:name="page102"/>
    <w:bookmarkEnd w:id="101"/>
    <w:p>
      <w:pPr>
        <w:ind w:right="480" w:firstLine="509"/>
        <w:spacing w:after="0" w:line="261"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63" w:lineRule="exact"/>
        <w:rPr>
          <w:sz w:val="20"/>
          <w:szCs w:val="20"/>
          <w:color w:val="auto"/>
        </w:rPr>
      </w:pPr>
    </w:p>
    <w:p>
      <w:pPr>
        <w:ind w:left="1020" w:right="100" w:hanging="503"/>
        <w:spacing w:after="0" w:line="262" w:lineRule="auto"/>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64" w:lineRule="exact"/>
        <w:rPr>
          <w:rFonts w:ascii="Arial" w:cs="Arial" w:eastAsia="Arial" w:hAnsi="Arial"/>
          <w:sz w:val="17"/>
          <w:szCs w:val="17"/>
          <w:color w:val="auto"/>
        </w:rPr>
      </w:pPr>
    </w:p>
    <w:p>
      <w:pPr>
        <w:ind w:left="1020" w:hanging="503"/>
        <w:spacing w:after="0"/>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26" w:lineRule="exact"/>
        <w:rPr>
          <w:rFonts w:ascii="Arial" w:cs="Arial" w:eastAsia="Arial" w:hAnsi="Arial"/>
          <w:sz w:val="16"/>
          <w:szCs w:val="16"/>
          <w:color w:val="auto"/>
        </w:rPr>
      </w:pPr>
    </w:p>
    <w:p>
      <w:pPr>
        <w:jc w:val="both"/>
        <w:ind w:left="1020" w:right="180" w:hanging="503"/>
        <w:spacing w:after="0" w:line="324" w:lineRule="auto"/>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6" w:lineRule="exact"/>
        <w:rPr>
          <w:rFonts w:ascii="Arial" w:cs="Arial" w:eastAsia="Arial" w:hAnsi="Arial"/>
          <w:sz w:val="16"/>
          <w:szCs w:val="16"/>
          <w:color w:val="auto"/>
        </w:rPr>
      </w:pPr>
    </w:p>
    <w:p>
      <w:pPr>
        <w:ind w:left="1020" w:right="340" w:hanging="503"/>
        <w:spacing w:after="0" w:line="291" w:lineRule="auto"/>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will not be obligated pursuant to our amended and restated bylaws to indemnify a person with respect to proceedings initiated by that person against us or our other indemnitees, except with respect to proceedings authorized by our board of directors;</w:t>
      </w:r>
    </w:p>
    <w:p>
      <w:pPr>
        <w:spacing w:after="0" w:line="38" w:lineRule="exact"/>
        <w:rPr>
          <w:rFonts w:ascii="Arial" w:cs="Arial" w:eastAsia="Arial" w:hAnsi="Arial"/>
          <w:sz w:val="17"/>
          <w:szCs w:val="17"/>
          <w:color w:val="auto"/>
        </w:rPr>
      </w:pPr>
    </w:p>
    <w:p>
      <w:pPr>
        <w:ind w:left="1020" w:right="540" w:hanging="503"/>
        <w:spacing w:after="0" w:line="324" w:lineRule="auto"/>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rights conferred in our amended and restated bylaws are not exclusive, and we are authorized to enter and have entered into indemnification agreements with our directors, officers, employees and agents and to obtain insurance to indemnify such persons; and</w:t>
      </w:r>
    </w:p>
    <w:p>
      <w:pPr>
        <w:spacing w:after="0" w:line="16" w:lineRule="exact"/>
        <w:rPr>
          <w:rFonts w:ascii="Arial" w:cs="Arial" w:eastAsia="Arial" w:hAnsi="Arial"/>
          <w:sz w:val="16"/>
          <w:szCs w:val="16"/>
          <w:color w:val="auto"/>
        </w:rPr>
      </w:pPr>
    </w:p>
    <w:p>
      <w:pPr>
        <w:ind w:left="1020" w:right="140" w:hanging="503"/>
        <w:spacing w:after="0" w:line="261"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63" w:lineRule="exact"/>
        <w:rPr>
          <w:sz w:val="20"/>
          <w:szCs w:val="20"/>
          <w:color w:val="auto"/>
        </w:rPr>
      </w:pPr>
    </w:p>
    <w:p>
      <w:pPr>
        <w:jc w:val="both"/>
        <w:ind w:right="240"/>
        <w:spacing w:after="0" w:line="248"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74"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Our amended and restated certificate of incorporation specifies that, unless we consent in writing to the selection of an alternative forum, the Court of Chancery of the State of Delaware is the sole and exclusive forum for any derivative action or proceeding brought on our behalf; any action asserting a breach of fiduciary duty; any action asserting a claim against us arising pursuant to the Delaware General Corporation Law, our amended and restated certificate of incorporation, our amended and restated bylaws or any action as to which the Delaware General Corporation Law confers jurisdiction to the Court of Chancery of the State of Delaware; or any action asserting a claim against us that is governed by the internal affairs doctrine. Our amended and restated certificate of incorporation also provides that the federal district courts of the United States of America is the exclusive forum for the resolution of any complaint asserting a cause of action against us or any of our directors, officers, employees or agents and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choice of forum provision requiring that the Court of Chancery of the State of Delaware or the federal district courts of the United States of America be the exclusive forum for certain actions does not apply to suits brought to enforce any liability or duty created by the Exchange Act. Our exclusive forum provision does not relieve us of our duties to comply with the federal securities laws and the rules and regulations thereunder, and our stockholders will not be deemed to have waived our compliance with these laws, rules and regulations. Although our amended and restated certificate of incorporation contains the choice of forum provisions described above, it is possible that a court could find that such a provision is inapplicable for a particular claim or action or that such provision is unenforceable.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General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Raising additional capital may cause dilution to our stockholders, restrict our operations or require us to relinquish rights to our technologies.</w:t>
      </w:r>
    </w:p>
    <w:p>
      <w:pPr>
        <w:spacing w:after="0" w:line="127"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To date, we have primarily financed our operations through the sale of common stock, preferred stock and convertible notes. We will be required to seek additional funding in the future and may to do so through public or private equity offerings or debt financings, credit or loan facilities, collaborations or a combination of one or more of these funding sources. If we raise additional funds by issuing equity securities, our stockholders may suffer dilution and the terms of any equity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If we raise additional capital through marketing and distribution arrangements or other collaborations, strategic alliances or licensing arrangements with third parties, we may have to relinquish certain valuable rights to our drug candidates, technologies, future revenue streams or research programs or grant licenses on terms that may not be favorable to us. Attempting to secure additional financing may also divert our management’s attention from our day-to-day activities, which may adversely affect our ability to develop our drug candidates.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 financial condition, stock price and results of operations.</w:t>
      </w:r>
    </w:p>
    <w:p>
      <w:pPr>
        <w:spacing w:after="0" w:line="115" w:lineRule="exact"/>
        <w:rPr>
          <w:sz w:val="20"/>
          <w:szCs w:val="20"/>
          <w:color w:val="auto"/>
        </w:rPr>
      </w:pPr>
    </w:p>
    <w:p>
      <w:pPr>
        <w:ind w:right="20" w:firstLine="509"/>
        <w:spacing w:after="0" w:line="251"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2008 global financial crisis caused extreme volatility and disruptions in the capital and credit markets. In addition, Russia began a full-scale invasion of Ukraine in February 2022 which is the largest conventional military attack in Europe since World II and has triggered unprecedented sanctions against Russia. While the situation remains highly fluid and the outlook of such war in Ukraine is subject to extraordinary uncertainty, the ongoing war and associated sanctions will likely have a severe impact on the global economy. A severe or prolonged economic downturn, such as the 2008 global financial crisis, and one that could be caused by the war in Ukraine, could result in a variety of risks to our business, including, weakened demand for any drug candidates we may develop and our ability to raise additional capital when needed on acceptable terms, if at all. A weak or declining economy or disruptions in the supply chain generally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or other partners may not survive such difficult economic times, which could directly affect our ability to attain our operating goals on schedule and on budget.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any general economic downturn.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policies are expensive and protect us only from some business risks, which leaves us exposed to significant uninsured liabilities.</w:t>
      </w:r>
    </w:p>
    <w:p>
      <w:pPr>
        <w:spacing w:after="0" w:line="127"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We do not carry insurance for all categories of risk that our business may encounter. Some of the policies we currently maintain include general liability, property, umbrella, clinical trials and directors’ and officers’ insurance. Any additional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Any significant uninsured liability may require us to pay substantial amounts, which would adversely affect our cash position and results of operations.</w:t>
      </w:r>
    </w:p>
    <w:p>
      <w:pPr>
        <w:spacing w:after="0" w:line="51"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We also expect that operating as a public company will make it more difficult and more expensive for us to obtain directors’ and officers’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i w:val="1"/>
          <w:iCs w:val="1"/>
          <w:color w:val="auto"/>
        </w:rPr>
        <w:t>The United Kingdom’s withdrawal from the EU may have a negative effect on global economic conditions, financial markets and our business.</w:t>
      </w:r>
    </w:p>
    <w:p>
      <w:pPr>
        <w:spacing w:after="0" w:line="127" w:lineRule="exact"/>
        <w:rPr>
          <w:sz w:val="20"/>
          <w:szCs w:val="20"/>
          <w:color w:val="auto"/>
        </w:rPr>
      </w:pPr>
    </w:p>
    <w:p>
      <w:pPr>
        <w:ind w:right="140" w:firstLine="554"/>
        <w:spacing w:after="0" w:line="276" w:lineRule="auto"/>
        <w:rPr>
          <w:sz w:val="20"/>
          <w:szCs w:val="20"/>
          <w:color w:val="auto"/>
        </w:rPr>
      </w:pPr>
      <w:r>
        <w:rPr>
          <w:rFonts w:ascii="Arial" w:cs="Arial" w:eastAsia="Arial" w:hAnsi="Arial"/>
          <w:sz w:val="16"/>
          <w:szCs w:val="16"/>
          <w:color w:val="auto"/>
        </w:rPr>
        <w:t>Following a national referendum and enactment of legislation by the government of the United Kingdom, the United Kingdom formally withdrew from the EU and ratified a trade and cooperation agreement (TCA) governing its future relationship with the EU, including ensuring tariff-free trade for certain goods and services. Since the regulatory framework for pharmaceutical products in the United Kingdom relating to quality, safety and efficacy of pharmaceutical products, clinical trials, marketing authorization, commercial sales and distribution of pharmaceutical products is derived from EU directives and regulations, Brexit will materially impact the future regulatory regime which applies to products and the approval of product candidates in the United Kingdom. Longer term, the United Kingdom is likely to develop its own legislation that diverges from that in the EU.</w:t>
      </w:r>
    </w:p>
    <w:p>
      <w:pPr>
        <w:spacing w:after="0" w:line="54"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The TCA provides details on how some aspects of the United Kingdom’s and EU’s relationship will operate going forwards, however there are still many uncertainties. The uncertainty concerning the United Kingdom’s legal, political and economic relationship with the EU since Brexit may be a source of instability in the international markets, create significant currency fluctuations, and/or otherwise adversely affect trading agreements or similar cross-border co-operation arrangements (whether economic, tax, fiscal, legal, regulatory or otherwise). These developments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w:t>
      </w:r>
    </w:p>
    <w:p>
      <w:pPr>
        <w:spacing w:after="0" w:line="6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violations of which can have serious negative consequences for our business.</w:t>
      </w:r>
    </w:p>
    <w:p>
      <w:pPr>
        <w:spacing w:after="0" w:line="63"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U.S. and foreign anti-corruption, anti-money laundering, export control, sanctions, and other trade laws and regulations (collectively, Trade Laws), prohibit, among other matters,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and reputational harm, among other consequences. We routinely have direct or indirect interactions with officials and employees of government agencies or government-affiliated hospitals, universities, and other organizations, and we expect our non-U.S. activities to increase in time. We plan to engage third parties for clinical trials and/or obtain necessary permits, licenses, patent registrations, and other regulatory approvals from such officials, employees and government agencies and affiliates and we may be held liable for any corrupt or other illegal activities of our personnel, agents, or partners, even if we do not explicitly authorize or have prior knowledge of such activities.</w:t>
      </w:r>
    </w:p>
    <w:p>
      <w:pPr>
        <w:spacing w:after="0" w:line="72"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rights, if any, could be reduced or eliminated if we fail to comply with these requirements.</w:t>
      </w:r>
    </w:p>
    <w:p>
      <w:pPr>
        <w:spacing w:after="0" w:line="7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Periodic maintenance fees, renewal fees, annuity fees, and various other fees are required to be paid to the USPTO and foreign patent agencies in several stages over the lifetime of a patent. In certain circumstances, we rely on our collaborators or licensors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fail to maintain the patents and patent applications covering our drug candidates, our competitors might be able to enter the market with similar or identical products or technology, which would harm our business, financial condition, results of operations and prospects.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04" w:name="page105"/>
    <w:bookmarkEnd w:id="104"/>
    <w:p>
      <w:pPr>
        <w:ind w:right="60" w:firstLine="509"/>
        <w:spacing w:after="0" w:line="252"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drug candidates, if approved. Any of the foregoing events would harm our business, financial condition, results of operations and prospects.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04"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We rely on confidential methodologies and processes and confidentiality agreements to protect our unpatented know-how, technology and other proprietary information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licensors,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drug candidates that we consider proprietary. Monitoring unauthorized uses and disclosures is difficult, and we do not know whether the steps we have taken to protect our proprietary information will be effective.</w:t>
      </w:r>
    </w:p>
    <w:p>
      <w:pPr>
        <w:spacing w:after="0" w:line="61"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7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3"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Our registered or unregistered trademarks or trade names may be challenged, infringed, circumvented or declared generic or determined to be infringing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Further,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05" w:name="page106"/>
    <w:bookmarkEnd w:id="105"/>
    <w:p>
      <w:pPr>
        <w:ind w:right="200"/>
        <w:spacing w:after="0" w:line="261" w:lineRule="auto"/>
        <w:rPr>
          <w:sz w:val="20"/>
          <w:szCs w:val="20"/>
          <w:color w:val="auto"/>
        </w:rPr>
      </w:pPr>
      <w:r>
        <w:rPr>
          <w:rFonts w:ascii="Arial" w:cs="Arial" w:eastAsia="Arial" w:hAnsi="Arial"/>
          <w:sz w:val="18"/>
          <w:szCs w:val="18"/>
          <w:color w:val="auto"/>
        </w:rPr>
        <w:t>copyrights or other intellectual property may be ineffective and could result in substantial costs and diversion of resources and could adversely affect our business, financial condition, results of operations and prospects.</w:t>
      </w:r>
    </w:p>
    <w:p>
      <w:pPr>
        <w:spacing w:after="0" w:line="63" w:lineRule="exact"/>
        <w:rPr>
          <w:sz w:val="20"/>
          <w:szCs w:val="20"/>
          <w:color w:val="auto"/>
        </w:rPr>
      </w:pPr>
    </w:p>
    <w:p>
      <w:pPr>
        <w:ind w:right="540"/>
        <w:spacing w:after="0" w:line="291" w:lineRule="auto"/>
        <w:rPr>
          <w:sz w:val="20"/>
          <w:szCs w:val="20"/>
          <w:color w:val="auto"/>
        </w:rPr>
      </w:pPr>
      <w:r>
        <w:rPr>
          <w:rFonts w:ascii="Arial" w:cs="Arial" w:eastAsia="Arial" w:hAnsi="Arial"/>
          <w:sz w:val="17"/>
          <w:szCs w:val="17"/>
          <w:b w:val="1"/>
          <w:bCs w:val="1"/>
          <w:i w:val="1"/>
          <w:iCs w:val="1"/>
          <w:color w:val="auto"/>
        </w:rPr>
        <w:t>We may in the future engage in strategic transactions; such transactions could affect our liquidity, dilute our existing stockholders, increase our expenses and present significant challenges in focus and energy to our management or prove not to be successful.</w:t>
      </w:r>
    </w:p>
    <w:p>
      <w:pPr>
        <w:spacing w:after="0" w:line="39"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From time to time, we may consider strategic transactions, such as acquisitions of companies, asset purchases and out-licensing or in-licensing of intellectual property, products or technologies.</w:t>
      </w:r>
    </w:p>
    <w:p>
      <w:pPr>
        <w:spacing w:after="0" w:line="63"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Such potential transactions that we may consider in the future include a variety of business arrangements, including spin-offs, strategic partnerships, joint ventures, restructurings, divestitures, business combinations, investments and licensings.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w:t>
      </w:r>
    </w:p>
    <w:p>
      <w:pPr>
        <w:spacing w:after="0" w:line="5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Public health pandemics or epidemics, political instability, terrorist attacks, other acts of violence or war, or other unexpected events could materially and adversely impact us.</w:t>
      </w:r>
    </w:p>
    <w:p>
      <w:pPr>
        <w:spacing w:after="0" w:line="63"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Public health pandemics or epidemics, political instability, terrorist attacks, other acts of violence or war or other unexpected events could materially interrupt our business operations (or those of the third parties upon whom we depend), cause consumer confidence and spending to decrease or result in increased volatility in the United States and worldwide financial markets and economy. They also could result in or prolong an economic recession in the United States. Any of these occurrences could materially and adversely affect us.</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Current or future litigation or administrative proceedings could have a material adverse effect on our business, our financial condition and our results of operations.</w:t>
      </w:r>
    </w:p>
    <w:p>
      <w:pPr>
        <w:spacing w:after="0" w:line="63"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We may be involved in legal proceedings, administrative proceedings, claims, and other litigation that arise in the ordinary course of business. Unfavorable outcomes or developments relating to proceedings to which we are a party or transactions involving our current or future drug candidates, such as judgments for monetary damages, injunctions, or denial or revocation of permits, could have a material adverse effect on our business, our financial condition, and our results of operations. In addition, settlement of claims could adversely affect our financial condition and our results of operations.</w:t>
      </w:r>
    </w:p>
    <w:p>
      <w:pPr>
        <w:spacing w:after="0" w:line="4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incur significantly increased costs as a result of operating as a public company, and our management is required to devote substantial time to new compliance initiatives and corporate governance practices.</w:t>
      </w:r>
    </w:p>
    <w:p>
      <w:pPr>
        <w:spacing w:after="0" w:line="63"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As a public company, we are incurring significant legal, accounting and other expenses that we did not previously incur as a private company.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(the Dodd-Frank Act) was enacted. There are significant corporate governance and executive compensation-related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the IPO. We intend to take advantage of this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06" w:name="page107"/>
    <w:bookmarkEnd w:id="106"/>
    <w:p>
      <w:pPr>
        <w:ind w:right="20" w:firstLine="509"/>
        <w:spacing w:after="0" w:line="272" w:lineRule="auto"/>
        <w:rPr>
          <w:sz w:val="20"/>
          <w:szCs w:val="20"/>
          <w:color w:val="auto"/>
        </w:rPr>
      </w:pPr>
      <w:r>
        <w:rPr>
          <w:rFonts w:ascii="Arial" w:cs="Arial" w:eastAsia="Arial" w:hAnsi="Arial"/>
          <w:sz w:val="16"/>
          <w:szCs w:val="16"/>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results of operations and prospects. The increased costs will decrease our net income or increase our net loss, and may require us to reduce costs in other areas of our business or increase the prices of our products or services (if approved).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experience fluctuations in our tax obligations and effective tax rate, which could materially and adversely affect our results of operations.</w:t>
      </w:r>
    </w:p>
    <w:p>
      <w:pPr>
        <w:spacing w:after="0" w:line="127"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are subject to U.S. federal and state income taxes and taxes in certain other non-U.S. jurisdictions.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tax, accounting and other laws, regulations, administrative practices, principles and interpretations, the mix and level of earnings in a given taxing jurisdiction or our ownership or capital structures.</w:t>
      </w:r>
    </w:p>
    <w:p>
      <w:pPr>
        <w:spacing w:after="0" w:line="81"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63"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81"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74"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Our corporate headquarters are located in South San Francisco, California, where we lease and occupy space in two separate buildings. The total amount of space leased across both building equals approximately 51,000 square feet of office and laboratory space. The current term of our two South San Francisco leases expire on March 2027 and July 2027, with options to extend the terms through March 2035 and July 2032, respectively.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07" w:name="page108"/>
    <w:bookmarkEnd w:id="107"/>
    <w:p>
      <w:pPr>
        <w:ind w:firstLine="509"/>
        <w:spacing w:after="0" w:line="261" w:lineRule="auto"/>
        <w:rPr>
          <w:sz w:val="20"/>
          <w:szCs w:val="20"/>
          <w:color w:val="auto"/>
        </w:rPr>
      </w:pPr>
      <w:r>
        <w:rPr>
          <w:rFonts w:ascii="Arial" w:cs="Arial" w:eastAsia="Arial" w:hAnsi="Arial"/>
          <w:sz w:val="18"/>
          <w:szCs w:val="18"/>
          <w:color w:val="auto"/>
        </w:rPr>
        <w:t>We also have an office in Leuven, Belgium, where we lease and occupy approximately 8,100 square feet of office and laboratory space. The current term of our Leuven, Belgium lease expires in August 2023, with an option to extend the term through August 2028.</w:t>
      </w:r>
    </w:p>
    <w:p>
      <w:pPr>
        <w:spacing w:after="0" w:line="171"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We lease all of our facilities and do not own any real property. 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ind w:right="200" w:firstLine="509"/>
        <w:spacing w:after="0" w:line="284" w:lineRule="auto"/>
        <w:rPr>
          <w:sz w:val="20"/>
          <w:szCs w:val="20"/>
          <w:color w:val="auto"/>
        </w:rPr>
      </w:pPr>
      <w:r>
        <w:rPr>
          <w:rFonts w:ascii="Arial" w:cs="Arial" w:eastAsia="Arial" w:hAnsi="Arial"/>
          <w:sz w:val="16"/>
          <w:szCs w:val="16"/>
          <w:color w:val="auto"/>
        </w:rPr>
        <w:t>From time to time, we may become involved in litigation or other legal proceedings. While the outcome of any such proceedings cannot be predicted with certainty, as of December 31, 2021, we were not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1900"/>
        <w:spacing w:after="0" w:line="36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Our common stock has been listed on The Nasdaq Global Select Market under the symbol “ALGS” since October 20, 2020. Prior to that date, there was no public trading market for our common stock.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08"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As of March 4, 2022, there were 46 holders of record of our common stock, which consist of 44 holders of record of our voting common stock and 2 holders of record of our non-voting common stock. The actual number of stockholders is greater than this number of record holders, and includes stockholders who are beneficial owners, but whose shares are held in street name by brokers and other nominees.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We have never declared or paid any cash dividend on our common stock. We do not expect to declare or pay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business prospects and other factors our board of directors might deem relevant.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08"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December 31, 2021.</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ind w:firstLine="360"/>
        <w:spacing w:after="0" w:line="274" w:lineRule="auto"/>
        <w:rPr>
          <w:sz w:val="20"/>
          <w:szCs w:val="20"/>
          <w:color w:val="auto"/>
        </w:rPr>
      </w:pPr>
      <w:r>
        <w:rPr>
          <w:rFonts w:ascii="Arial" w:cs="Arial" w:eastAsia="Arial" w:hAnsi="Arial"/>
          <w:sz w:val="16"/>
          <w:szCs w:val="16"/>
          <w:color w:val="auto"/>
        </w:rPr>
        <w:t>On October 15, 2020, our registration statement on Form S-1 (File No. 333-249077) relating to our IPO of Common Stock became effective. The IPO closed on October 20, 2020, at which time we issued 10 million shares of common stock at a price to the public of $15.00 per share. We received net proceeds from the IPO of approximately $135.4 million, after deducting the underwriting discounts and commissions of $10.5 million and expenses of $4.1 million. None of the expenses associated with the IPO were paid to directors, officers, persons owning 10% or more of any class of equity securities, or to our affiliates. On November 5, 2020, the underwriters of the IPO partially exercised their overallotment option by purchasing an additional 1,150,000 shares from the Company at the IPO price, resulting in an additional $16.0 million in net proceeds after deducting the underwriting discounts and commissions. J.P. Morgan Securities LLC, Jefferies LLC, Piper Sandler &amp; Co. acted as joint book-running managers for the offering.</w:t>
      </w:r>
    </w:p>
    <w:p>
      <w:pPr>
        <w:spacing w:after="0" w:line="55" w:lineRule="exact"/>
        <w:rPr>
          <w:sz w:val="20"/>
          <w:szCs w:val="20"/>
          <w:color w:val="auto"/>
        </w:rPr>
      </w:pPr>
    </w:p>
    <w:p>
      <w:pPr>
        <w:ind w:right="400" w:firstLine="360"/>
        <w:spacing w:after="0" w:line="261" w:lineRule="auto"/>
        <w:rPr>
          <w:sz w:val="20"/>
          <w:szCs w:val="20"/>
          <w:color w:val="auto"/>
        </w:rPr>
      </w:pPr>
      <w:r>
        <w:rPr>
          <w:rFonts w:ascii="Arial" w:cs="Arial" w:eastAsia="Arial" w:hAnsi="Arial"/>
          <w:sz w:val="18"/>
          <w:szCs w:val="18"/>
          <w:color w:val="auto"/>
        </w:rPr>
        <w:t>There has been no material change in the planned use of our net IPO proceeds as described in our Prospectus filed with the SEC pursuant to Rule 424(b)(4) under the Securities Act on October 19, 2020.</w:t>
      </w:r>
    </w:p>
    <w:p>
      <w:pPr>
        <w:spacing w:after="0" w:line="59" w:lineRule="exact"/>
        <w:rPr>
          <w:sz w:val="20"/>
          <w:szCs w:val="20"/>
          <w:color w:val="auto"/>
        </w:rPr>
      </w:pPr>
    </w:p>
    <w:p>
      <w:pPr>
        <w:jc w:val="center"/>
        <w:ind w:right="5800"/>
        <w:spacing w:after="0"/>
        <w:rPr>
          <w:sz w:val="20"/>
          <w:szCs w:val="20"/>
          <w:color w:val="auto"/>
        </w:rPr>
      </w:pPr>
      <w:r>
        <w:rPr>
          <w:rFonts w:ascii="Arial" w:cs="Arial" w:eastAsia="Arial" w:hAnsi="Arial"/>
          <w:sz w:val="16"/>
          <w:szCs w:val="16"/>
          <w:b w:val="1"/>
          <w:bCs w:val="1"/>
          <w:color w:val="auto"/>
        </w:rPr>
        <w:t>Purchases of Equity Securities by the Issuer and Affiliated Purchasers.</w:t>
      </w:r>
    </w:p>
    <w:p>
      <w:pPr>
        <w:spacing w:after="0" w:line="131" w:lineRule="exact"/>
        <w:rPr>
          <w:sz w:val="20"/>
          <w:szCs w:val="20"/>
          <w:color w:val="auto"/>
        </w:rPr>
      </w:pPr>
    </w:p>
    <w:p>
      <w:pPr>
        <w:jc w:val="center"/>
        <w:ind w:right="976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jc w:val="center"/>
        <w:ind w:right="9760"/>
        <w:spacing w:after="0"/>
        <w:rPr>
          <w:sz w:val="20"/>
          <w:szCs w:val="20"/>
          <w:color w:val="auto"/>
        </w:rPr>
      </w:pPr>
      <w:r>
        <w:rPr>
          <w:rFonts w:ascii="Arial" w:cs="Arial" w:eastAsia="Arial" w:hAnsi="Arial"/>
          <w:sz w:val="16"/>
          <w:szCs w:val="16"/>
          <w:b w:val="1"/>
          <w:bCs w:val="1"/>
          <w:color w:val="auto"/>
        </w:rPr>
        <w:t>Item 6. [Reserved].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related notes included elsewhere in this Annual Report on Form 10-K. In addition to historical financial information, this discussion contains forward-looking statements based upon current expectations that involve risks and uncertainties. Our actual results could differ materially from those anticipated in these forward-looking statements as a result of various factors, including those set forth under “Special note regarding forward-looking statements” and “Risk Factors” and elsewhere in this Annual Report on Form 10-K. Our fiscal year ends on December 31 each year.</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60" w:firstLine="509"/>
        <w:spacing w:after="0" w:line="270" w:lineRule="auto"/>
        <w:rPr>
          <w:sz w:val="20"/>
          <w:szCs w:val="20"/>
          <w:color w:val="auto"/>
        </w:rPr>
      </w:pPr>
      <w:r>
        <w:rPr>
          <w:rFonts w:ascii="Arial" w:cs="Arial" w:eastAsia="Arial" w:hAnsi="Arial"/>
          <w:sz w:val="16"/>
          <w:szCs w:val="16"/>
          <w:color w:val="auto"/>
        </w:rPr>
        <w:t>We are a clinical-stage biopharmaceutical company focused on developing novel therapeutics to address unmet medical needs in viral and liver diseases. We utilize our proprietary oligonucleotide and small molecule platforms to develop pharmacologically optimized drug candidates for use in combination regimens designed to achieve improved treatment outcomes. Our lead effort is to develop a functional cure for Chronic Hepatitis B (CHB), which often results in life-threatening conditions such as cirrhosis, end-stage liver disease (ESLD) and the most common form of liver cancer, hepatocellular carcinoma (HCC). The most widely used treatment for CHB, nucleos(t)ide analogs, suppresses viral replication but only achieves low rates of functional cure and often requires long-term administration. To address this issue, we have developed a portfolio of differentiated drug candidates for CHB, including a small molecule Capsid Assembly Modulator (CAM) and oligonucleotides (Antisense Oligonucleotides (ASO) and Small Interfering Ribonucleic Acids (siRNA)), each of which is designed against clinically validated targets in the Hepatitis B Virus (HBV) life cycle. We are also exploring approaches towards boosting immune response with the use of small molecule antagonists of the PD1/PD-L1 interaction. We believe that combination regimens utilizing our portfolio of CHB drug candidates may lead to higher rates of functional cure.</w:t>
      </w:r>
    </w:p>
    <w:p>
      <w:pPr>
        <w:spacing w:after="0" w:line="63"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Initial Phase 1a studies in healthy volunteers (HVs) for our CAM and ASO drug candidates have been completed and Phase 1b dose range studies evaluating the safety, pharmacokinetics and antiviral activity of these drugs in CHB patients are ongoing. For the CAM drug candidate, ALG-000184, preliminary data as of January 28, 2022, in both HVs and CHB subjects indicate the drug has a predictable, dose proportional pharmacokinetic (PK) profile and was well tolerated after up to 28 days of oral daily dosing. Specifically, one unrelated serious adverse event (SAE) (hospitalization for management of pre-existing back pain) and no treatment emergent adverse events (TEAEs) leading to discontinuation have been reported and no concerning TEAEs, laboratory abnormalities, or other safety assessments have been identified by the study’s safety committee. Preliminary antiviral activity data through completion of dosing (i.e., 28 days) are available in cohorts of Hepatitis B E-antigen (HBeAg) negative subjects (100 mg (Cohort 1) and 50 mg (Cohort 2)) and HBeAg positive subjects (100 mg (Cohort 4)). ALG-000184 was observed to have similar levels of activity at 50-100 mg doses in Cohorts 1-2, where both doses achieved HBV DNA and HBV RNA reductions of approximately 3-4 log</w:t>
      </w:r>
      <w:r>
        <w:rPr>
          <w:rFonts w:ascii="Arial" w:cs="Arial" w:eastAsia="Arial" w:hAnsi="Arial"/>
          <w:sz w:val="11"/>
          <w:szCs w:val="11"/>
          <w:color w:val="auto"/>
        </w:rPr>
        <w:t>10</w:t>
      </w:r>
      <w:r>
        <w:rPr>
          <w:rFonts w:ascii="Arial" w:cs="Arial" w:eastAsia="Arial" w:hAnsi="Arial"/>
          <w:sz w:val="16"/>
          <w:szCs w:val="16"/>
          <w:color w:val="auto"/>
        </w:rPr>
        <w:t xml:space="preserve"> IU/mL and approximately 1.5-2 log</w:t>
      </w:r>
      <w:r>
        <w:rPr>
          <w:rFonts w:ascii="Arial" w:cs="Arial" w:eastAsia="Arial" w:hAnsi="Arial"/>
          <w:sz w:val="11"/>
          <w:szCs w:val="11"/>
          <w:color w:val="auto"/>
        </w:rPr>
        <w:t>10</w:t>
      </w:r>
      <w:r>
        <w:rPr>
          <w:rFonts w:ascii="Arial" w:cs="Arial" w:eastAsia="Arial" w:hAnsi="Arial"/>
          <w:sz w:val="16"/>
          <w:szCs w:val="16"/>
          <w:color w:val="auto"/>
        </w:rPr>
        <w:t xml:space="preserve"> copies/mL, respectively. In both of these cohorts, HBV DNA and HBV RNA levels fell below the lower limit of quantitation (LLOQ) in ≥75% and 100% of subjects, respectively. In Cohort 4 (HBeAg positive subjects receiving 100 mg ALG-000184), HBV DNA and HBV RNA declined by &gt;4 log</w:t>
      </w:r>
      <w:r>
        <w:rPr>
          <w:rFonts w:ascii="Arial" w:cs="Arial" w:eastAsia="Arial" w:hAnsi="Arial"/>
          <w:sz w:val="11"/>
          <w:szCs w:val="11"/>
          <w:color w:val="auto"/>
        </w:rPr>
        <w:t>10</w:t>
      </w:r>
      <w:r>
        <w:rPr>
          <w:rFonts w:ascii="Arial" w:cs="Arial" w:eastAsia="Arial" w:hAnsi="Arial"/>
          <w:sz w:val="16"/>
          <w:szCs w:val="16"/>
          <w:color w:val="auto"/>
        </w:rPr>
        <w:t xml:space="preserve"> IU/mL and &gt;3 log</w:t>
      </w:r>
      <w:r>
        <w:rPr>
          <w:rFonts w:ascii="Arial" w:cs="Arial" w:eastAsia="Arial" w:hAnsi="Arial"/>
          <w:sz w:val="11"/>
          <w:szCs w:val="11"/>
          <w:color w:val="auto"/>
        </w:rPr>
        <w:t>10</w:t>
      </w:r>
      <w:r>
        <w:rPr>
          <w:rFonts w:ascii="Arial" w:cs="Arial" w:eastAsia="Arial" w:hAnsi="Arial"/>
          <w:sz w:val="16"/>
          <w:szCs w:val="16"/>
          <w:color w:val="auto"/>
        </w:rPr>
        <w:t xml:space="preserve"> copies/mL, respectively, with no plateauing of the antiviral effect throughout dosing. Enrollment in Cohorts 3 (10 mg for 28 days in HBeAg negative CHB) and 5 (300 mg for 28 days in HBeAg positive CHB) is ongoing with topline data planned to be presented at a scientific conference in mid-2022. In order to understand the effects of longer-term dosing with ALG-000184 on viral markers (e.g., HBV DNA, HBV RNA, HBsAg, and HBeAg) as well as safety, the Phase 1 protocol has been amended to add Part 4, which is planned to dose HBeAg positive subjects for 12 weeks at the 100 mg and 300 mg dose levels in combination with a nucleos(t)ide analog. Dosing in Part 4 is expected to be completed during the fourth quarter of 2022.</w:t>
      </w:r>
    </w:p>
    <w:p>
      <w:pPr>
        <w:spacing w:after="0" w:line="6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For the ASO drug candidate, ALG-020572, dosing in HVs is complete. After reviewing preliminary data through Cohort 4 (480 mg given subcutaneously (SC)), the highest dose evaluated, the study’s safety committee identified no concerning findings. Based on the drug’s acceptable safety and PK profile to date, dosing in Part 2, which is evaluating multiple SC doses (7 doses given over 29 days) in CHB patients, was initiated at the 210 mg dose level. Enrollment in the first cohort of CHB subjects is complete. Preliminary data, including antiviral activity, through multiple cohorts in Part 2 are anticipated to be shared at a scientific conference in the fourth quarter of 2022.</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10" w:name="page111"/>
    <w:bookmarkEnd w:id="110"/>
    <w:p>
      <w:pPr>
        <w:ind w:right="140" w:firstLine="509"/>
        <w:spacing w:after="0" w:line="261" w:lineRule="auto"/>
        <w:rPr>
          <w:sz w:val="20"/>
          <w:szCs w:val="20"/>
          <w:color w:val="auto"/>
        </w:rPr>
      </w:pPr>
      <w:r>
        <w:rPr>
          <w:rFonts w:ascii="Arial" w:cs="Arial" w:eastAsia="Arial" w:hAnsi="Arial"/>
          <w:sz w:val="18"/>
          <w:szCs w:val="18"/>
          <w:color w:val="auto"/>
        </w:rPr>
        <w:t>Our preclinical activities to advance our siRNA targeted against HBV are ongoing, with the clinical trial application (CTA) filing for ALG-125755 on-track for the first half of 2022 and dosing in HVs set to begin in the third quarter of 2022.</w:t>
      </w:r>
    </w:p>
    <w:p>
      <w:pPr>
        <w:spacing w:after="0" w:line="63"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If our CHB drug candidates are advanced from Phase 1 into Phase 2 development, we plan in 2023 to initiate a Phase 2 platform study to evaluate the safety and efficacy of various combinations of our CAM, ASO, and siRNA drug candidates with or without additional drugs with alternative mechanisms of action.</w:t>
      </w:r>
    </w:p>
    <w:p>
      <w:pPr>
        <w:spacing w:after="0" w:line="74" w:lineRule="exact"/>
        <w:rPr>
          <w:sz w:val="20"/>
          <w:szCs w:val="20"/>
          <w:color w:val="auto"/>
        </w:rPr>
      </w:pPr>
    </w:p>
    <w:p>
      <w:pPr>
        <w:ind w:right="220" w:firstLine="509"/>
        <w:spacing w:after="0" w:line="224" w:lineRule="auto"/>
        <w:rPr>
          <w:sz w:val="20"/>
          <w:szCs w:val="20"/>
          <w:color w:val="auto"/>
        </w:rPr>
      </w:pPr>
      <w:r>
        <w:rPr>
          <w:rFonts w:ascii="Arial" w:cs="Arial" w:eastAsia="Arial" w:hAnsi="Arial"/>
          <w:sz w:val="18"/>
          <w:szCs w:val="18"/>
          <w:color w:val="auto"/>
        </w:rPr>
        <w:t>Finally, note that our CHB portfolio previously included the drug candidate, ALG-010133, one of our proprietary S-antigen Transport-inhibiting Oligonucleotide Polymers (STOPS</w:t>
      </w:r>
      <w:r>
        <w:rPr>
          <w:rFonts w:ascii="Arial" w:cs="Arial" w:eastAsia="Arial" w:hAnsi="Arial"/>
          <w:sz w:val="24"/>
          <w:szCs w:val="24"/>
          <w:color w:val="auto"/>
          <w:vertAlign w:val="superscript"/>
        </w:rPr>
        <w:t>TM</w:t>
      </w:r>
      <w:r>
        <w:rPr>
          <w:rFonts w:ascii="Arial" w:cs="Arial" w:eastAsia="Arial" w:hAnsi="Arial"/>
          <w:sz w:val="18"/>
          <w:szCs w:val="18"/>
          <w:color w:val="auto"/>
        </w:rPr>
        <w:t>) drug candidates that was in a Phase 1b dose range finding trial (NCT04485663) evaluating subjects with CHB. In January 2022, we announced that we halted further development of ALG-010133 based on data from the Phase 1b trial, which indicated there was insufficient antiviral activity to warrant further development.</w:t>
      </w:r>
    </w:p>
    <w:p>
      <w:pPr>
        <w:spacing w:after="0" w:line="81" w:lineRule="exact"/>
        <w:rPr>
          <w:sz w:val="20"/>
          <w:szCs w:val="20"/>
          <w:color w:val="auto"/>
        </w:rPr>
      </w:pPr>
    </w:p>
    <w:p>
      <w:pPr>
        <w:ind w:right="260" w:firstLine="509"/>
        <w:spacing w:after="0" w:line="244" w:lineRule="auto"/>
        <w:rPr>
          <w:sz w:val="20"/>
          <w:szCs w:val="20"/>
          <w:color w:val="auto"/>
        </w:rPr>
      </w:pPr>
      <w:r>
        <w:rPr>
          <w:rFonts w:ascii="Arial" w:cs="Arial" w:eastAsia="Arial" w:hAnsi="Arial"/>
          <w:sz w:val="18"/>
          <w:szCs w:val="18"/>
          <w:color w:val="auto"/>
        </w:rPr>
        <w:t>Our second area of focus is in non-alcoholic steatohepatitis (NASH), a complex, chronic liver disease where combination regimens may likewise prove beneficial. Our most advanced drug candidate for NASH is</w:t>
      </w:r>
    </w:p>
    <w:p>
      <w:pPr>
        <w:ind w:right="60"/>
        <w:spacing w:after="0" w:line="254" w:lineRule="auto"/>
        <w:rPr>
          <w:sz w:val="20"/>
          <w:szCs w:val="20"/>
          <w:color w:val="auto"/>
        </w:rPr>
      </w:pPr>
      <w:r>
        <w:rPr>
          <w:rFonts w:ascii="Arial" w:cs="Arial" w:eastAsia="Arial" w:hAnsi="Arial"/>
          <w:sz w:val="17"/>
          <w:szCs w:val="17"/>
          <w:color w:val="auto"/>
        </w:rPr>
        <w:t>ALG-055009, a small molecule THR-ß agonist. This drug candidate is being evaluated in a Phase 1a/1b study in HVs (oral single ascending doses) and subjects with hyperlipidemia (14 oral daily doses); dosing in both populations is currently underway. Topline data, including safety, PK, and anti-lipid effects in hyperlipidemic subjects are anticipated in the third quarter of 2022. Based on the previously demonstrated effects of other thyromimetics on liver fat, noninvasive markers of nonalcoholic fatty liver disease (NAFLD)/NASH, and liver histology in NASH patients, we believe ALG-055009 has the potential to become an integral component of future combination regimens for NASH.</w:t>
      </w:r>
    </w:p>
    <w:p>
      <w:pPr>
        <w:spacing w:after="0" w:line="70" w:lineRule="exact"/>
        <w:rPr>
          <w:sz w:val="20"/>
          <w:szCs w:val="20"/>
          <w:color w:val="auto"/>
        </w:rPr>
      </w:pPr>
    </w:p>
    <w:p>
      <w:pPr>
        <w:ind w:right="500" w:firstLine="494"/>
        <w:spacing w:after="0" w:line="262" w:lineRule="auto"/>
        <w:rPr>
          <w:sz w:val="20"/>
          <w:szCs w:val="20"/>
          <w:color w:val="auto"/>
        </w:rPr>
      </w:pPr>
      <w:r>
        <w:rPr>
          <w:rFonts w:ascii="Arial" w:cs="Arial" w:eastAsia="Arial" w:hAnsi="Arial"/>
          <w:sz w:val="17"/>
          <w:szCs w:val="17"/>
          <w:color w:val="auto"/>
        </w:rPr>
        <w:t>Our third area of focus is to develop drug candidates with pan-coronavirus activity, including against Severe Acute Respiratory Syndrome coronavirus 2 (SARS-CoV-2), the virus responsible for COVID-19. Our efforts to identify a coronavirus therapeutic are focused on a small molecule approach, where we are exploring coronavirus protease inhibitors in collaboration with Katholieke Universiteit Leuven (KU Leuven), the Center for Innovation and Stimulation of Drug Discovery (CISTIM) and the Centre for Drug Design and Discovery (CD3).</w:t>
      </w:r>
    </w:p>
    <w:p>
      <w:pPr>
        <w:spacing w:after="0" w:line="6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October 2020, we completed our initial public offering (IPO) and issued 10,000,000 shares of our common stock at a price to the public of $15.00 per share for net proceeds of $135.4 million, after deducting underwriting discounts and commissions of $10.5 million and estimated expenses of $4.1 million. In connection with the IPO, all shares of Series A, Series B-1 and Series B-2 redeemable convertible preferred stock converted into 19,761,870 shares of voting common stock and 3,092,338 shares of non-voting common stock. On November 5, 2020, the underwriters of the IPO partially exercised their overallotment option by purchasing an additional 1,150,000 shares from the Company, resulting in an additional $16.0 million, after deducting underwriting discounts and commissions of $1.2 million. Prior to our IPO, we had received gross proceeds of approximately $186.9 million from sales of our preferred stock and our issuance of convertible debt.</w:t>
      </w:r>
    </w:p>
    <w:p>
      <w:pPr>
        <w:spacing w:after="0" w:line="83"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In July 2021, we completed a follow-on offering and issued 4,400,000 shares of our common stock at a price to the public of $19.00 per share for net proceeds of $77.7 million, after deducting underwriting discounts and commissions and offering expenses payable by us.</w:t>
      </w:r>
    </w:p>
    <w:p>
      <w:pPr>
        <w:spacing w:after="0" w:line="63"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We have incurred net losses and negative cash flows from operations in each year since our formation in February 2018. Our net losses were $128.3 million and $108.5 million for the years ended December 31, 2021 and 2020, respectively. We have had no revenue from product sales. As of December 31, 2021, we had an accumulated deficit of $303.1 million. Substantially all of our net losses have resulted from costs incurred in connection with our research and development programs and from general and administrative costs associated with our operations. We expect to continue to incur significant expenses and increasing operating losses over at least the next several years. Our net operating losses may fluctuate from quarter to quarter and year to year depending primarily on the timing of our clinical trials and nonclinical studies and our other research and development expenses. We have no internal manufacturing capabilities or sales force and outsource a substantial portion of our clinical trial work to third parties.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operating expenses since inception have consisted solely of research and development costs and general and administrative costs.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rely substantially on third parties to conduct our discovery activities, nonclinical studies, clinical trials and manufacturing. We primarily estimate research and development expenses based on estimates of services performed and rely on third party contractors and vendors to provide us with timely and accurate estimates of expenses of services performed to assist us in these estimates. A portion of our research and development expenses are based on contractual milestones. Research and development costs consist primarily of costs incurred for the identification and development of our drug candidates through our technology platforms, which include:</w:t>
      </w:r>
    </w:p>
    <w:p>
      <w:pPr>
        <w:spacing w:after="0" w:line="81" w:lineRule="exact"/>
        <w:rPr>
          <w:sz w:val="20"/>
          <w:szCs w:val="20"/>
          <w:color w:val="auto"/>
        </w:rPr>
      </w:pPr>
    </w:p>
    <w:p>
      <w:pPr>
        <w:ind w:left="1020" w:right="440" w:hanging="503"/>
        <w:spacing w:after="0" w:line="26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salaries, benefits and other employee-related costs, including stock-based compensation expense, for personnel engaged in research and development functions;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costs of outside consultants, including their fees, and related travel expenses;</w:t>
      </w:r>
    </w:p>
    <w:p>
      <w:pPr>
        <w:spacing w:after="0" w:line="103" w:lineRule="exact"/>
        <w:rPr>
          <w:rFonts w:ascii="Arial" w:cs="Arial" w:eastAsia="Arial" w:hAnsi="Arial"/>
          <w:sz w:val="18"/>
          <w:szCs w:val="18"/>
          <w:color w:val="auto"/>
        </w:rPr>
      </w:pPr>
    </w:p>
    <w:p>
      <w:pPr>
        <w:ind w:left="1020" w:right="640" w:hanging="503"/>
        <w:spacing w:after="0" w:line="26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costs associated with in-process research and development, including license fees and milestones paid to third-party collaborators for technologies with no alternative use;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costs related to production of clinical materials, including fees paid to contract manufacturers;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expenses incurred under agreements with collaborators that perform nonclinical activities;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03"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facility costs, depreciation, and other expenses, which include direct and allocated expenses for rent and maintenance of facilities, insurance, and other supplies.</w:t>
      </w:r>
    </w:p>
    <w:p>
      <w:pPr>
        <w:spacing w:after="0" w:line="49" w:lineRule="exact"/>
        <w:rPr>
          <w:sz w:val="20"/>
          <w:szCs w:val="20"/>
          <w:color w:val="auto"/>
        </w:rPr>
      </w:pPr>
    </w:p>
    <w:p>
      <w:pPr>
        <w:ind w:right="20" w:firstLine="509"/>
        <w:spacing w:after="0" w:line="259" w:lineRule="auto"/>
        <w:rPr>
          <w:sz w:val="20"/>
          <w:szCs w:val="20"/>
          <w:color w:val="auto"/>
        </w:rPr>
      </w:pPr>
      <w:r>
        <w:rPr>
          <w:rFonts w:ascii="Arial" w:cs="Arial" w:eastAsia="Arial" w:hAnsi="Arial"/>
          <w:sz w:val="16"/>
          <w:szCs w:val="16"/>
          <w:color w:val="auto"/>
        </w:rPr>
        <w:t>We expense research and development costs as the services are performed or the goods are received. Non-refundable payments for goods or services that will be used for future research and development activities are deferred and capitalized. Such amounts are recognized as an expense as the goods are delivered or the related services are performed until it is no longer expected that the goods will be delivered, or the services will be rendered.</w:t>
      </w:r>
    </w:p>
    <w:p>
      <w:pPr>
        <w:spacing w:after="0" w:line="39" w:lineRule="exact"/>
        <w:rPr>
          <w:sz w:val="20"/>
          <w:szCs w:val="20"/>
          <w:color w:val="auto"/>
        </w:rPr>
      </w:pPr>
    </w:p>
    <w:p>
      <w:pPr>
        <w:ind w:right="160" w:firstLine="509"/>
        <w:spacing w:after="0" w:line="228" w:lineRule="auto"/>
        <w:rPr>
          <w:sz w:val="20"/>
          <w:szCs w:val="20"/>
          <w:color w:val="auto"/>
        </w:rPr>
      </w:pPr>
      <w:r>
        <w:rPr>
          <w:rFonts w:ascii="Arial" w:cs="Arial" w:eastAsia="Arial" w:hAnsi="Arial"/>
          <w:sz w:val="17"/>
          <w:szCs w:val="17"/>
          <w:color w:val="auto"/>
        </w:rPr>
        <w:t>We expect our research and development costs to increase in future periods as we continue to invest in research and development activities and advance our nonclinical and clinical programs through clinical development. The process of conducting nonclinical studies and, eventually, clinical trials necessary to obtain regulatory approval is costly and time consuming, and the successful development of our drug candidates is highly uncertain. As a result, we are unable to determine the duration and completion costs of our research and development projects or clinical trials or if and to what extent we will generate revenue from the commercialization and sale of any of our drug candidates.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77" w:lineRule="exact"/>
        <w:rPr>
          <w:sz w:val="20"/>
          <w:szCs w:val="20"/>
          <w:color w:val="auto"/>
        </w:rPr>
      </w:pPr>
    </w:p>
    <w:p>
      <w:pPr>
        <w:ind w:right="40" w:firstLine="509"/>
        <w:spacing w:after="0" w:line="216"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 not otherwise classified as research and development costs.</w:t>
      </w:r>
    </w:p>
    <w:p>
      <w:pPr>
        <w:spacing w:after="0" w:line="6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expect that our general and administrative expenses will increase in the future as we increase our general and administrative personnel headcount to support personnel in research and development and to support our operations generally as we increase our research and development activities and activities related to the potential commercialization of our drug candidates. We also expect to incur increased expenses associated with operating as a public company, including costs of accounting, audit, legal, regulatory and tax-related services associated with maintaining compliance with exchange listing rules and requirements of the Securities and Exchange Commission (the SEC), director and officer insurance costs, and investor and public relations costs.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income, net</w:t>
      </w:r>
    </w:p>
    <w:p>
      <w:pPr>
        <w:spacing w:after="0" w:line="104" w:lineRule="exact"/>
        <w:rPr>
          <w:sz w:val="20"/>
          <w:szCs w:val="20"/>
          <w:color w:val="auto"/>
        </w:rPr>
      </w:pPr>
    </w:p>
    <w:p>
      <w:pPr>
        <w:ind w:right="160" w:firstLine="509"/>
        <w:spacing w:after="0" w:line="270" w:lineRule="auto"/>
        <w:rPr>
          <w:sz w:val="20"/>
          <w:szCs w:val="20"/>
          <w:color w:val="auto"/>
        </w:rPr>
      </w:pPr>
      <w:r>
        <w:rPr>
          <w:rFonts w:ascii="Arial" w:cs="Arial" w:eastAsia="Arial" w:hAnsi="Arial"/>
          <w:sz w:val="17"/>
          <w:szCs w:val="17"/>
          <w:color w:val="auto"/>
        </w:rPr>
        <w:t>Interest and other (expense) income, net comprises interest (expense) income, net and other income (expense), net. Interest income (expense), net primarily consists of interest earned on our cash, cash equivalents, and investments and interest expense related to our convertible preferred stock liability and warrants. Other (expense) income, net consists primarily of the change in fair value of our derivative liabilities.</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classified our warrants and the commitment to sell redeemable convertible preferred stock as liabilities 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2" w:name="page113"/>
    <w:bookmarkEnd w:id="112"/>
    <w:p>
      <w:pPr>
        <w:ind w:right="80"/>
        <w:spacing w:after="0" w:line="270" w:lineRule="auto"/>
        <w:rPr>
          <w:sz w:val="20"/>
          <w:szCs w:val="20"/>
          <w:color w:val="auto"/>
        </w:rPr>
      </w:pPr>
      <w:r>
        <w:rPr>
          <w:rFonts w:ascii="Arial" w:cs="Arial" w:eastAsia="Arial" w:hAnsi="Arial"/>
          <w:sz w:val="17"/>
          <w:szCs w:val="17"/>
          <w:color w:val="auto"/>
        </w:rPr>
        <w:t>our consolidated balance sheets and recorded changes in fair value at each balance sheet date with the corresponding change recorded as other income (expense), net. Prior to our IPO, all outstanding warrants were exercised for the issuance of shares of common stock and, upon that exercise, such warrants were no longer outstanding. Similarly, the redeemable convertible preferred stock liability was converted to common stock.</w:t>
      </w:r>
    </w:p>
    <w:p>
      <w:pPr>
        <w:spacing w:after="0" w:line="56" w:lineRule="exact"/>
        <w:rPr>
          <w:sz w:val="20"/>
          <w:szCs w:val="20"/>
          <w:color w:val="auto"/>
        </w:rPr>
      </w:pPr>
    </w:p>
    <w:p>
      <w:pPr>
        <w:ind w:right="520" w:firstLine="509"/>
        <w:spacing w:after="0" w:line="261" w:lineRule="auto"/>
        <w:rPr>
          <w:sz w:val="20"/>
          <w:szCs w:val="20"/>
          <w:color w:val="auto"/>
        </w:rPr>
      </w:pPr>
      <w:r>
        <w:rPr>
          <w:rFonts w:ascii="Arial" w:cs="Arial" w:eastAsia="Arial" w:hAnsi="Arial"/>
          <w:sz w:val="18"/>
          <w:szCs w:val="18"/>
          <w:color w:val="auto"/>
        </w:rPr>
        <w:t>We do not anticipate other (expense) income, net to fluctuate in the future due to the conversion of the redeemable convertible preferred stock liability prior to our IPO.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04"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Since our inception in 2018, we have not recorded any U.S. federal or state income tax benefits for the net losses we have incurred in any year or for our earned research and development tax credits, due to our uncertainty of realizing a benefit from those items. As of December 31, 2021, we had federal net operating loss (NOL) carryforwards of $255.9 million available to reduce taxable income and these NOLs can be carried forward indefinitely. We have state NOL carryforwards of $263.0 million as of December 31, 2021, available to reduce future state taxable income, which expire at various dates beginning in 2038. As of December 31, 2021, the Company had $1.5 million of Australia NOL carryforwards, which carryforward indefinitely. As of December 31, 2021, we also had federal and state research and development tax credit carryforwards of $6.1 million and $3.0 million, respectively. The federal development tax credit carryforwards begin to expire in 2038, while the state development tax credit carryforwards can be carried forward indefinitely. Under Sections 382 and 383 of the Code, and corresponding provisions of state law, if a corporation undergoes an “ownership change” (generally defined as a greater than 50 percentage point change (by value) in its equity ownership over a rolling three-year period), the corporation’s ability to use its pre-change NOL carryforwards and other pre-change tax attributes to offset its post-change income may be limited. We performed an IRC Section 382 analysis in 2021 and determined there was an ownership change that resulted in Section 382 limitations. The ownership change limited our ability to utilize net operating losses against future taxable income but will not result in the expiration of any NOLs. We may in the future experience ownership changes as a result of changes in our stock ownership (some of which are not in our control). In addition, under current tax law, federal NOL carryforwards generated in periods after December 31, 2017, may be carried forward indefinitely but, in taxable years beginning after December 31, 2020, may only be used to offset 80% of our taxable income. For these reasons, our ability to utilize our NOL carryforwards and other tax attributes to reduce future tax liabilities may be limited.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2021 and 2020</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operating expenses for the years ended 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4004310</wp:posOffset>
            </wp:positionH>
            <wp:positionV relativeFrom="paragraph">
              <wp:posOffset>147955</wp:posOffset>
            </wp:positionV>
            <wp:extent cx="102870" cy="145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5067300</wp:posOffset>
            </wp:positionH>
            <wp:positionV relativeFrom="paragraph">
              <wp:posOffset>147955</wp:posOffset>
            </wp:positionV>
            <wp:extent cx="102870" cy="145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6610350</wp:posOffset>
            </wp:positionH>
            <wp:positionV relativeFrom="paragraph">
              <wp:posOffset>147955</wp:posOffset>
            </wp:positionV>
            <wp:extent cx="256540" cy="1454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6540" cy="145415"/>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 w:type="dxa"/>
            <w:vAlign w:val="bottom"/>
          </w:tcPr>
          <w:p>
            <w:pPr>
              <w:spacing w:after="0"/>
              <w:rPr>
                <w:sz w:val="15"/>
                <w:szCs w:val="15"/>
                <w:color w:val="auto"/>
              </w:rPr>
            </w:pPr>
          </w:p>
        </w:tc>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Consolidated Statements of Operations Data:</w:t>
            </w:r>
          </w:p>
        </w:tc>
        <w:tc>
          <w:tcPr>
            <w:tcW w:w="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top w:val="single" w:sz="8" w:color="auto"/>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69"/>
        </w:trPr>
        <w:tc>
          <w:tcPr>
            <w:tcW w:w="460" w:type="dxa"/>
            <w:vAlign w:val="bottom"/>
          </w:tcPr>
          <w:p>
            <w:pPr>
              <w:spacing w:after="0"/>
              <w:rPr>
                <w:sz w:val="14"/>
                <w:szCs w:val="14"/>
                <w:color w:val="auto"/>
              </w:rPr>
            </w:pPr>
          </w:p>
        </w:tc>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96"/>
        </w:trPr>
        <w:tc>
          <w:tcPr>
            <w:tcW w:w="460" w:type="dxa"/>
            <w:vAlign w:val="bottom"/>
          </w:tcPr>
          <w:p>
            <w:pPr>
              <w:spacing w:after="0"/>
              <w:rPr>
                <w:sz w:val="17"/>
                <w:szCs w:val="17"/>
                <w:color w:val="auto"/>
              </w:rPr>
            </w:pPr>
          </w:p>
        </w:tc>
        <w:tc>
          <w:tcPr>
            <w:tcW w:w="4580" w:type="dxa"/>
            <w:vAlign w:val="bottom"/>
          </w:tcPr>
          <w:p>
            <w:pPr>
              <w:ind w:left="20"/>
              <w:spacing w:after="0" w:line="196" w:lineRule="exact"/>
              <w:rPr>
                <w:sz w:val="20"/>
                <w:szCs w:val="20"/>
                <w:color w:val="auto"/>
              </w:rPr>
            </w:pPr>
            <w:r>
              <w:rPr>
                <w:rFonts w:ascii="Arial" w:cs="Arial" w:eastAsia="Arial" w:hAnsi="Arial"/>
                <w:sz w:val="18"/>
                <w:szCs w:val="18"/>
                <w:color w:val="auto"/>
              </w:rPr>
              <w:t>Revenue from collaborations</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4,359</w:t>
            </w:r>
          </w:p>
        </w:tc>
        <w:tc>
          <w:tcPr>
            <w:tcW w:w="24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4,359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8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87"/>
              </w:rPr>
              <w:t>%</w:t>
            </w: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4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104,153</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79,890</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24,263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30 %</w:t>
            </w: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4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28,527</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17,944</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10,583</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59 %</w:t>
            </w: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132,680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97,834</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34,846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36 %</w:t>
            </w: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4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(128,321 )</w:t>
            </w:r>
          </w:p>
        </w:tc>
        <w:tc>
          <w:tcPr>
            <w:tcW w:w="3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(97,834 )</w:t>
            </w:r>
          </w:p>
        </w:tc>
        <w:tc>
          <w:tcPr>
            <w:tcW w:w="3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(30,487 )</w:t>
            </w: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31 %</w:t>
            </w: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Interest and other income (expense), net</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4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income, net</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242</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1,256</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(1,014 )</w:t>
            </w: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(81 )%</w:t>
            </w:r>
          </w:p>
        </w:tc>
        <w:tc>
          <w:tcPr>
            <w:tcW w:w="440" w:type="dxa"/>
            <w:vAlign w:val="bottom"/>
          </w:tcPr>
          <w:p>
            <w:pPr>
              <w:spacing w:after="0"/>
              <w:rPr>
                <w:sz w:val="17"/>
                <w:szCs w:val="17"/>
                <w:color w:val="auto"/>
              </w:rPr>
            </w:pPr>
          </w:p>
        </w:tc>
      </w:tr>
      <w:tr>
        <w:trPr>
          <w:trHeight w:val="202"/>
        </w:trPr>
        <w:tc>
          <w:tcPr>
            <w:tcW w:w="460" w:type="dxa"/>
            <w:vAlign w:val="bottom"/>
          </w:tcPr>
          <w:p>
            <w:pPr>
              <w:spacing w:after="0"/>
              <w:rPr>
                <w:sz w:val="17"/>
                <w:szCs w:val="17"/>
                <w:color w:val="auto"/>
              </w:rPr>
            </w:pPr>
          </w:p>
        </w:tc>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Other loss, net</w:t>
            </w:r>
          </w:p>
        </w:tc>
        <w:tc>
          <w:tcPr>
            <w:tcW w:w="28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(110 )</w:t>
            </w:r>
          </w:p>
        </w:tc>
        <w:tc>
          <w:tcPr>
            <w:tcW w:w="32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(11,804 )</w:t>
            </w: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11,694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(99 )%</w:t>
            </w: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4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Total interest and other income (expense), net</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132</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(10,548 )</w:t>
            </w: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10,680</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(101 )%</w:t>
            </w: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Loss before provision for income taxes</w:t>
            </w:r>
          </w:p>
        </w:tc>
        <w:tc>
          <w:tcPr>
            <w:tcW w:w="28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(128,189 )</w:t>
            </w:r>
          </w:p>
        </w:tc>
        <w:tc>
          <w:tcPr>
            <w:tcW w:w="32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(108,382 )</w:t>
            </w:r>
          </w:p>
        </w:tc>
        <w:tc>
          <w:tcPr>
            <w:tcW w:w="30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(19,807 )</w:t>
            </w:r>
          </w:p>
        </w:tc>
        <w:tc>
          <w:tcPr>
            <w:tcW w:w="220" w:type="dxa"/>
            <w:vAlign w:val="bottom"/>
          </w:tcPr>
          <w:p>
            <w:pPr>
              <w:spacing w:after="0"/>
              <w:rPr>
                <w:sz w:val="17"/>
                <w:szCs w:val="17"/>
                <w:color w:val="auto"/>
              </w:rPr>
            </w:pPr>
          </w:p>
        </w:tc>
        <w:tc>
          <w:tcPr>
            <w:tcW w:w="10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18 %</w:t>
            </w: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4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2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(143 )</w:t>
            </w:r>
          </w:p>
        </w:tc>
        <w:tc>
          <w:tcPr>
            <w:tcW w:w="3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(161 )</w:t>
            </w: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(11 )%</w:t>
            </w:r>
          </w:p>
        </w:tc>
        <w:tc>
          <w:tcPr>
            <w:tcW w:w="440" w:type="dxa"/>
            <w:vAlign w:val="bottom"/>
          </w:tcPr>
          <w:p>
            <w:pPr>
              <w:spacing w:after="0"/>
              <w:rPr>
                <w:sz w:val="17"/>
                <w:szCs w:val="17"/>
                <w:color w:val="auto"/>
              </w:rPr>
            </w:pPr>
          </w:p>
        </w:tc>
      </w:tr>
      <w:tr>
        <w:trPr>
          <w:trHeight w:val="230"/>
        </w:trPr>
        <w:tc>
          <w:tcPr>
            <w:tcW w:w="46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(128,332 )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(108,543 )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(19,789 )</w:t>
            </w:r>
          </w:p>
        </w:tc>
        <w:tc>
          <w:tcPr>
            <w:tcW w:w="220" w:type="dxa"/>
            <w:vAlign w:val="bottom"/>
          </w:tcPr>
          <w:p>
            <w:pPr>
              <w:spacing w:after="0"/>
              <w:rPr>
                <w:sz w:val="20"/>
                <w:szCs w:val="20"/>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18 %</w:t>
            </w:r>
          </w:p>
        </w:tc>
        <w:tc>
          <w:tcPr>
            <w:tcW w:w="440" w:type="dxa"/>
            <w:vAlign w:val="bottom"/>
          </w:tcPr>
          <w:p>
            <w:pPr>
              <w:spacing w:after="0"/>
              <w:rPr>
                <w:sz w:val="20"/>
                <w:szCs w:val="20"/>
                <w:color w:val="auto"/>
              </w:rPr>
            </w:pPr>
          </w:p>
        </w:tc>
      </w:tr>
      <w:tr>
        <w:trPr>
          <w:trHeight w:val="607"/>
        </w:trPr>
        <w:tc>
          <w:tcPr>
            <w:tcW w:w="4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471"/>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02"/>
        </w:trPr>
        <w:tc>
          <w:tcPr>
            <w:tcW w:w="460" w:type="dxa"/>
            <w:vAlign w:val="bottom"/>
            <w:tcBorders>
              <w:bottom w:val="single" w:sz="8" w:color="9A9A9A"/>
            </w:tcBorders>
          </w:tcPr>
          <w:p>
            <w:pPr>
              <w:spacing w:after="0"/>
              <w:rPr>
                <w:sz w:val="8"/>
                <w:szCs w:val="8"/>
                <w:color w:val="auto"/>
              </w:rPr>
            </w:pPr>
          </w:p>
        </w:tc>
        <w:tc>
          <w:tcPr>
            <w:tcW w:w="45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 xml:space="preserve">Research and development expenses were $104.2 million for the year ended December 31, 2021, compared to $79.9 million for the year ended December 31, 2020, an increase of $24.3 million. The increase was due to an increase of $8.3 million of additional employee-related costs, of which $6.2 million related to stock-based compensation. Additionally, we had an increase of $10.5 million in third-party expenses for our nonclinical programs and the continued increase in expenditures related to research, development and manufacturing activities associated with our CAM, ASO and STOPs, clinical trial activities, as well as activities related to our NASH program (we have discontinued our STOPs program in the first quarter of 2022, refer to Note 16, </w:t>
      </w:r>
      <w:r>
        <w:rPr>
          <w:rFonts w:ascii="Arial" w:cs="Arial" w:eastAsia="Arial" w:hAnsi="Arial"/>
          <w:sz w:val="16"/>
          <w:szCs w:val="16"/>
          <w:i w:val="1"/>
          <w:iCs w:val="1"/>
          <w:color w:val="auto"/>
        </w:rPr>
        <w:t xml:space="preserve">Subsequent Events </w:t>
      </w:r>
      <w:r>
        <w:rPr>
          <w:rFonts w:ascii="Arial" w:cs="Arial" w:eastAsia="Arial" w:hAnsi="Arial"/>
          <w:sz w:val="16"/>
          <w:szCs w:val="16"/>
          <w:color w:val="auto"/>
        </w:rPr>
        <w:t>for further details). In addition, we had higher facilities and related expenses allocated to research and development in 2021.</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right="280" w:firstLine="509"/>
        <w:spacing w:after="0" w:line="259" w:lineRule="auto"/>
        <w:rPr>
          <w:sz w:val="20"/>
          <w:szCs w:val="20"/>
          <w:color w:val="auto"/>
        </w:rPr>
      </w:pPr>
      <w:r>
        <w:rPr>
          <w:rFonts w:ascii="Arial" w:cs="Arial" w:eastAsia="Arial" w:hAnsi="Arial"/>
          <w:sz w:val="17"/>
          <w:szCs w:val="17"/>
          <w:color w:val="auto"/>
        </w:rPr>
        <w:t>General and administrative expenses were $28.5 million for the year ended December 31, 2021, compared to $17.9 million for the year ended December 31, 2020, an increase of $10.6 million. The increase was primarily due to an increase of $6.4 million of additional employee-related costs, of which $4.3 million related to stock-based compensation. In addition, we had a $4.0 million increase in third-party expenses primarily due to increased administrative and legal costs and an increase in of $2.6 million for D&amp;O insurance, all to support our status as a public company, partially offset by a decrease in facilities and related expenses allocated to general and administrative cost centers in 2021.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104"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Interest income, net decreased to $0.2 million for the year ended December 31, 2021 from $1.3 million for the year ended December 31, 2020, a decrease of approximately $1.0 million, primarily due to the change in our portfolio of cash equivalents, short-term and long-term investments as well as a general decrease in market interest rates during the year ended December 31, 2021.</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(loss) income, net</w:t>
      </w:r>
    </w:p>
    <w:p>
      <w:pPr>
        <w:spacing w:after="0" w:line="104" w:lineRule="exact"/>
        <w:rPr>
          <w:sz w:val="20"/>
          <w:szCs w:val="20"/>
          <w:color w:val="auto"/>
        </w:rPr>
      </w:pPr>
    </w:p>
    <w:p>
      <w:pPr>
        <w:jc w:val="both"/>
        <w:ind w:right="300" w:firstLine="509"/>
        <w:spacing w:after="0" w:line="248" w:lineRule="auto"/>
        <w:rPr>
          <w:sz w:val="20"/>
          <w:szCs w:val="20"/>
          <w:color w:val="auto"/>
        </w:rPr>
      </w:pPr>
      <w:r>
        <w:rPr>
          <w:rFonts w:ascii="Arial" w:cs="Arial" w:eastAsia="Arial" w:hAnsi="Arial"/>
          <w:sz w:val="18"/>
          <w:szCs w:val="18"/>
          <w:color w:val="auto"/>
        </w:rPr>
        <w:t>Other (loss) income, net was a loss of $0.1 million for the year ended December 31, 2021 compared to a loss of $11.8 million for the year ended December 31, 2020, a difference of $11.7 million. The difference was due primarily to the prior year loss recognized on the net increase in fair value of both our redeemable convertible preferred stock liability and warrant liabilities prior to our IPO.</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04"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We have incurred net losses since inception. We have not generated any revenue from product sales or any other sources and have incurred significant operating losses. We have not yet commercialized any products and we do not expect to generate revenue from sales of any drug candidates for at least several years, if ever.</w:t>
      </w:r>
    </w:p>
    <w:p>
      <w:pPr>
        <w:spacing w:after="0" w:line="74"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Our operations have been financed primarily by net proceeds from the sale and issuance of our convertible preferred stock, net proceeds from our IPO, and the issuance of convertible debt. In October 2020, we issued an aggregate of 3,569,630 shares of our Series B-2 redeemable convertible preferred stock in the second tranche of our Series B convertible preferred stock financing for aggregate proceeds of $40.0 million. On October 20, 2020, we closed our IPO and issued 10,000,000 shares of our common stock at a price to the public of $15.00 per share for net proceeds of $135.4 million, after deducting underwriting discounts and commissions of $10.5 million and expenses of $4.1 million. On November 5, 2020, the underwriters of the IPO partially exercised their overallotment option by purchasing an additional 1,150,000 shares from the Company, resulting in an additional $16.0 million, after deducting underwriting discounts and commissions of $1.2 million. In July 2021, we completed a follow-on offering and issued 4,400,000 shares of our common stock at a price to the public of $19.00 per share for net proceeds of $77.7 million, after deducting underwriting discounts and commissions and estimated offering expenses payable by us.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we had cash, cash equivalents and investments of $205.8 million.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10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Our primary use of cash is to fund operating expenses, which consist primarily of research and development costs related to our drug candidates and our discovery programs, and to a lesser extent, general and administrative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114" w:name="page115"/>
    <w:bookmarkEnd w:id="114"/>
    <w:p>
      <w:pPr>
        <w:jc w:val="both"/>
        <w:spacing w:after="0" w:line="248" w:lineRule="auto"/>
        <w:rPr>
          <w:sz w:val="20"/>
          <w:szCs w:val="20"/>
          <w:color w:val="auto"/>
        </w:rPr>
      </w:pPr>
      <w:r>
        <w:rPr>
          <w:rFonts w:ascii="Arial" w:cs="Arial" w:eastAsia="Arial" w:hAnsi="Arial"/>
          <w:sz w:val="18"/>
          <w:szCs w:val="18"/>
          <w:color w:val="auto"/>
        </w:rPr>
        <w:t>expenditures. We expect our expenses to increase substantially in connection with our ongoing clinical development activities related to our most advanced drug candidate ALG-000184, which we have initiated clinical trials, as well as our research and development of our other drug candidates within our CHB, NASH and coronavirus programs.</w:t>
      </w:r>
    </w:p>
    <w:p>
      <w:pPr>
        <w:spacing w:after="0" w:line="182"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In addition, we are incurring additional costs associated with operating as a public company following our IPO in October 2020. We expect that our expenses will increase substantially to the extent we:</w:t>
      </w:r>
    </w:p>
    <w:p>
      <w:pPr>
        <w:spacing w:after="0" w:line="63" w:lineRule="exact"/>
        <w:rPr>
          <w:sz w:val="20"/>
          <w:szCs w:val="20"/>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conduct our current and future clinical trials, and additional nonclinical studies;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initiate and continue research and nonclinical and clinical development of other drug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seek to identify additional drug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pursue marketing approvals for any of our drug candidates that successfully complete clinical trials, if any;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require the manufacture of larger quantities of our drug candidates for clinical development and potentially commercialization;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obtain, maintain, expand, protect and enforce our intellectual property portfolio;</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acquire or in-license other drug candidates and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hire and retain additional clinical, quality control and scientific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achieve milestones triggering payments by us under our current and potential future licensing and/or collaboration agreements;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build out or expand existing facilities to support our ongoing development activity; and</w:t>
      </w:r>
    </w:p>
    <w:p>
      <w:pPr>
        <w:spacing w:after="0" w:line="103"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any future commercialization efforts and our transition to becoming a public company.</w:t>
      </w:r>
    </w:p>
    <w:p>
      <w:pPr>
        <w:spacing w:after="0" w:line="63"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believe that our existing cash, cash equivalents and investments will enable us to fund our planned operating expenses and capital expenditure requirements through at least the twelve months from the date of issuing our financial statements. We have based this estimate on assumptions that may prove to be wrong, and we could exhaust our available capital resources sooner than we expect. Furthermore, we may elect to raise additional capital on an opportunistic basis to fund operations.</w:t>
      </w:r>
    </w:p>
    <w:p>
      <w:pPr>
        <w:spacing w:after="0" w:line="80"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Because of the numerous risks and uncertainties associated with our research and development programs and because the extent to which we may enter into collaborations with third parties for development of our drug candidates is unknown, we are unable to estimate the timing and amounts of increased capital outlays and operating expenses associated with completing the research and development of our drug candidates. Our future capital requirements will depend on many factors, including:</w:t>
      </w:r>
    </w:p>
    <w:p>
      <w:pPr>
        <w:spacing w:after="0" w:line="80" w:lineRule="exact"/>
        <w:rPr>
          <w:sz w:val="20"/>
          <w:szCs w:val="20"/>
          <w:color w:val="auto"/>
        </w:rPr>
      </w:pPr>
    </w:p>
    <w:p>
      <w:pPr>
        <w:ind w:left="1020" w:right="40" w:hanging="503"/>
        <w:spacing w:after="0" w:line="261"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drug candidates and programs, and of conducting nonclinical studies and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marketing approvals for drug candidates we develop if clinical trials are successful;</w:t>
      </w:r>
    </w:p>
    <w:p>
      <w:pPr>
        <w:spacing w:after="0" w:line="115" w:lineRule="exact"/>
        <w:rPr>
          <w:rFonts w:ascii="Arial" w:cs="Arial" w:eastAsia="Arial" w:hAnsi="Arial"/>
          <w:sz w:val="17"/>
          <w:szCs w:val="17"/>
          <w:color w:val="auto"/>
        </w:rPr>
      </w:pPr>
    </w:p>
    <w:p>
      <w:pPr>
        <w:jc w:val="both"/>
        <w:ind w:left="1020" w:right="360" w:hanging="503"/>
        <w:spacing w:after="0" w:line="248"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73" w:lineRule="exact"/>
        <w:rPr>
          <w:rFonts w:ascii="Arial" w:cs="Arial" w:eastAsia="Arial" w:hAnsi="Arial"/>
          <w:sz w:val="18"/>
          <w:szCs w:val="18"/>
          <w:color w:val="auto"/>
        </w:rPr>
      </w:pPr>
    </w:p>
    <w:p>
      <w:pPr>
        <w:ind w:left="1020" w:right="1240" w:hanging="503"/>
        <w:spacing w:after="0" w:line="261"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 of manufacturing our current and future drug candidates for clinical trials in preparation for marketing approval and commercialization;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establish and maintain strategic licenses or other arrangements and the financial terms of such agreements;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15" w:name="page116"/>
    <w:bookmarkEnd w:id="115"/>
    <w:p>
      <w:pPr>
        <w:ind w:left="1020" w:right="80" w:hanging="503"/>
        <w:spacing w:after="0" w:line="261"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such litigation;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timing, receipt and amount of sales of, or profit share or royalties on, our future products, if any;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emergence of competing therapies for hepatological indications and viral diseases and other adverse market developments; and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acquisitions or in-licensing of other programs or technologies.</w:t>
      </w:r>
    </w:p>
    <w:p>
      <w:pPr>
        <w:spacing w:after="0" w:line="104"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Developing pharmaceutical products, including conducting nonclinical studies and clinical trials, is a time-consuming, expensive and uncertain process that takes years to complete, and we may never generate the necessary data or results required to obtain marketing approval for any drug candidates or generate revenue from the sale of any drug candidate for which we may obtain marketing approval. In addition, our drug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w:t>
      </w:r>
    </w:p>
    <w:p>
      <w:pPr>
        <w:spacing w:after="0" w:line="66"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Adequate additional funds may not be available to us on acceptable terms, or at all. We do not currently have any committed external source of funds. To the extent that we raise additional capital through the sale of equity or convertible debt securities, ownership interest may be diluted, and the terms of these securities may include liquidation or other preferences and anti-dilution protections that could adversely affect the rights of a common stockholder. Additional debt or preferred equity financing, if available, may involve agreements that include restrictive covenants that may limit our ability to take specific actions, such as incurring debt, making capital expenditures or declaring dividends, which could adversely constrain our ability to conduct our business, and may require the issuance of warrants, which could potentially dilute ownership interest.</w:t>
      </w:r>
    </w:p>
    <w:p>
      <w:pPr>
        <w:spacing w:after="0" w:line="67"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If we raise additional funds through collaborations, strategic alliances or licensing arrangements with third parties, we may have to relinquish valuable rights to our technology, future revenue streams, research programs, or drug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drug candidates that we would otherwise prefer to develop and market ourselves.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379"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8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(115,662</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(74,263</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Net cash provided by investing activities</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3,022</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32,755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78,677</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192,348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86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w w:val="93"/>
              </w:rPr>
              <w:t>Net (decrease) increase in cash, cash equivalents, and restricted</w:t>
            </w:r>
          </w:p>
        </w:tc>
        <w:tc>
          <w:tcPr>
            <w:tcW w:w="32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shd w:val="clear" w:color="auto" w:fill="CFF0FC"/>
          </w:tcPr>
          <w:p>
            <w:pPr>
              <w:jc w:val="right"/>
              <w:ind w:right="61"/>
              <w:spacing w:after="0"/>
              <w:rPr>
                <w:sz w:val="20"/>
                <w:szCs w:val="20"/>
                <w:color w:val="auto"/>
              </w:rPr>
            </w:pPr>
            <w:r>
              <w:rPr>
                <w:rFonts w:ascii="Arial" w:cs="Arial" w:eastAsia="Arial" w:hAnsi="Arial"/>
                <w:sz w:val="18"/>
                <w:szCs w:val="18"/>
                <w:color w:val="auto"/>
              </w:rPr>
              <w:t>(33,963 )</w:t>
            </w: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150,840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w:t>
            </w:r>
          </w:p>
        </w:tc>
        <w:tc>
          <w:tcPr>
            <w:tcW w:w="320" w:type="dxa"/>
            <w:vAlign w:val="bottom"/>
            <w:vMerge w:val="continue"/>
            <w:shd w:val="clear" w:color="auto" w:fill="CFF0FC"/>
          </w:tcPr>
          <w:p>
            <w:pPr>
              <w:spacing w:after="0"/>
              <w:rPr>
                <w:sz w:val="17"/>
                <w:szCs w:val="17"/>
                <w:color w:val="auto"/>
              </w:rPr>
            </w:pPr>
          </w:p>
        </w:tc>
        <w:tc>
          <w:tcPr>
            <w:tcW w:w="1260" w:type="dxa"/>
            <w:vAlign w:val="bottom"/>
            <w:gridSpan w:val="2"/>
            <w:vMerge w:val="continue"/>
            <w:shd w:val="clear" w:color="auto" w:fill="CFF0FC"/>
          </w:tcPr>
          <w:p>
            <w:pPr>
              <w:spacing w:after="0"/>
              <w:rPr>
                <w:sz w:val="17"/>
                <w:szCs w:val="17"/>
                <w:color w:val="auto"/>
              </w:rPr>
            </w:pPr>
          </w:p>
        </w:tc>
        <w:tc>
          <w:tcPr>
            <w:tcW w:w="300" w:type="dxa"/>
            <w:vAlign w:val="bottom"/>
            <w:vMerge w:val="continue"/>
            <w:shd w:val="clear" w:color="auto" w:fill="CFF0FC"/>
          </w:tcPr>
          <w:p>
            <w:pPr>
              <w:spacing w:after="0"/>
              <w:rPr>
                <w:sz w:val="17"/>
                <w:szCs w:val="17"/>
                <w:color w:val="auto"/>
              </w:rPr>
            </w:pPr>
          </w:p>
        </w:tc>
        <w:tc>
          <w:tcPr>
            <w:tcW w:w="100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-5080</wp:posOffset>
            </wp:positionV>
            <wp:extent cx="7747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-5080</wp:posOffset>
            </wp:positionV>
            <wp:extent cx="6858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During Fiscal 2021, operating activities used $115.7 million of cash, primarily resulting from our net loss of $128.3 million and cash used as a result of changes in our operating assets and liabilities of $4.7 million, partially offset by non-cash charges of $17.3 million. Net cash used as a result of changes in our operating assets and liabilities of $4.7 million consisted of an increase in other assets of $8.1 million, a decrease of $4.4 million in deferred revenue from collaborations, a decrease of $1.4 million in operating lease liabilities, a decrease of $0.3 million in accounts payable and a decrease of $0.2 million in other liabilities, partially offset by an increase in accrued liabilities of $9.7 million. The increase in other assets resulted from advances for clinical trial costs and deposits for manufacturing slot reservation fees. The decrease in deferred revenue from collaborations was a result of recognition of revenue from collaborations due to progress towards the completion of the project. Operating lease liabilities decreased due to contractual lease payments, and the increase in accrued liabilities was due primarily due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to a ramp in manufacturing activities for various drug compounds that are expected to be consumed in future clinical trials.</w:t>
      </w:r>
    </w:p>
    <w:p>
      <w:pPr>
        <w:spacing w:after="0" w:line="104"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During Fiscal 2020, operating activities used $74.3 million of cash, primarily resulting from our net loss of $108.5 million, partially offset by non-cash charges of $18.2 million and cash provided by changes in our operating assets and liabilities of $16.1 million. Net cash provided by changes in our operating assets and liabilities of $16.1 million consisted of an increase of $9.4 million in accounts payable and accrued liabilities, an increase of $12.0 million in deferred revenue, partially offset by an increase of $4.1 million in other current assets and a decrease of $1.3 million in operating lease liability. The increase in accounts payable and accrued liabilities was largely due to an increase in external research and development costs. The increase in other assets was largely due to an increase in prepayments for services. The decrease in operating lease liability was a result of payments made on outstanding lease obligations.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During Fiscal 2021, investing activities provided $3.0 million of cash, consisting primarily of $23.0 million of investment maturities, offset by $19.1 million of investment purchases and $0.9 million of purchases of property and equipment.</w:t>
      </w:r>
    </w:p>
    <w:p>
      <w:pPr>
        <w:spacing w:after="0" w:line="63"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During Fiscal 2020, investing activities provided $32.8 million of cash, consisting primarily of $80.1 million of investment maturities, offset by $45.3 million of investment purchases and $2.1 million of purchases of property and equipment.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During Fiscal 2021, net cash provided by financing activities was $78.7 million, consisting primarily of $78.6 million in proceeds from our follow-on offering, net of issuance costs, and $1.0 million from the issuance of common stock from the exercise of employee stock options and the issuance of shares through our employee stock purchase plan. The cash provided was partially offset by costs related to our follow-on offering of $0.9 million and payments for our capital leases of $0.1 million.</w:t>
      </w:r>
    </w:p>
    <w:p>
      <w:pPr>
        <w:spacing w:after="0" w:line="80"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During Fiscal 2020, net cash provided by financing activities was $192.3 million, consisting primarily of $155.5 million in net proceeds from the initial public offering and underwriters exercise of the overallotment option and $41.1 million in proceeds from the issuance of redeemable convertible preferred stock, partially offset by $4.1 million in payments of deferred offering costs.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8" w:lineRule="exact"/>
        <w:rPr>
          <w:sz w:val="20"/>
          <w:szCs w:val="20"/>
          <w:color w:val="auto"/>
        </w:rPr>
      </w:pPr>
    </w:p>
    <w:p>
      <w:pPr>
        <w:ind w:right="100" w:firstLine="509"/>
        <w:spacing w:after="0" w:line="242" w:lineRule="auto"/>
        <w:rPr>
          <w:sz w:val="20"/>
          <w:szCs w:val="20"/>
          <w:color w:val="auto"/>
        </w:rPr>
      </w:pPr>
      <w:r>
        <w:rPr>
          <w:rFonts w:ascii="Arial" w:cs="Arial" w:eastAsia="Arial" w:hAnsi="Arial"/>
          <w:sz w:val="17"/>
          <w:szCs w:val="17"/>
          <w:color w:val="auto"/>
        </w:rPr>
        <w:t>Our principal commitments consist of obligations under our operating leases for office space in South San Francisco, California, and Belgium, and finance lease commitments representing obligations related to vehicle leases for employees and a lease for lab equipment. All of our finance leases are for assets in Belgium. We do not have any material purchase commitments for contracts with fixed or minimum service requirements. We also enter into contracts in the normal course of business with various vendors that generally provide for contract termination following a certain notice period. The Company enters into contracts in the normal course of business that includes arrangements with clinical research organizations, vendors for preclinical research and vendors for manufacturing. These agreements generally allow for cancellation with notice. As of December 31, 2021, the Company had non-cancellable purchase commitments of approximately $1.9 million related to the discontinued development of STOPS</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drug candidate. Refer to note 16, </w:t>
      </w:r>
      <w:r>
        <w:rPr>
          <w:rFonts w:ascii="Arial" w:cs="Arial" w:eastAsia="Arial" w:hAnsi="Arial"/>
          <w:sz w:val="17"/>
          <w:szCs w:val="17"/>
          <w:i w:val="1"/>
          <w:iCs w:val="1"/>
          <w:color w:val="auto"/>
        </w:rPr>
        <w:t>Subsequent Events</w:t>
      </w:r>
      <w:r>
        <w:rPr>
          <w:rFonts w:ascii="Arial" w:cs="Arial" w:eastAsia="Arial" w:hAnsi="Arial"/>
          <w:sz w:val="17"/>
          <w:szCs w:val="17"/>
          <w:color w:val="auto"/>
        </w:rPr>
        <w:t>, for further details.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right="640" w:firstLine="509"/>
        <w:spacing w:after="0" w:line="261"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08"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17" w:name="page118"/>
    <w:bookmarkEnd w:id="117"/>
    <w:p>
      <w:pPr>
        <w:ind w:right="200"/>
        <w:spacing w:after="0" w:line="261" w:lineRule="auto"/>
        <w:rPr>
          <w:sz w:val="20"/>
          <w:szCs w:val="20"/>
          <w:color w:val="auto"/>
        </w:rPr>
      </w:pPr>
      <w:r>
        <w:rPr>
          <w:rFonts w:ascii="Arial" w:cs="Arial" w:eastAsia="Arial" w:hAnsi="Arial"/>
          <w:sz w:val="18"/>
          <w:szCs w:val="18"/>
          <w:color w:val="auto"/>
        </w:rPr>
        <w:t>incurred costs to defend lawsuits or settle claims related to these indemnification agreements. As a result, we believe the fair value of these agreements is minimal.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08" w:lineRule="exact"/>
        <w:rPr>
          <w:sz w:val="20"/>
          <w:szCs w:val="20"/>
          <w:color w:val="auto"/>
        </w:rPr>
      </w:pPr>
    </w:p>
    <w:p>
      <w:pPr>
        <w:ind w:right="160" w:firstLine="509"/>
        <w:spacing w:after="0" w:line="276"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consolidated financial statements, which have been prepared in accordance with U.S. generally accepted accounting principles (GAAP). The preparation of these consolidated financial statements requires us to make estimates and assumptions that affect the reported amounts and the disclosure of assets and liabilities at the date of the consolidated financial statements, as well as the reported expenses incurred during the reporting periods. Our estimates are based on relevant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54" w:lineRule="exact"/>
        <w:rPr>
          <w:sz w:val="20"/>
          <w:szCs w:val="20"/>
          <w:color w:val="auto"/>
        </w:rPr>
      </w:pPr>
    </w:p>
    <w:p>
      <w:pPr>
        <w:ind w:right="140" w:firstLine="509"/>
        <w:spacing w:after="0" w:line="294" w:lineRule="auto"/>
        <w:rPr>
          <w:sz w:val="20"/>
          <w:szCs w:val="20"/>
          <w:color w:val="auto"/>
        </w:rPr>
      </w:pPr>
      <w:r>
        <w:rPr>
          <w:rFonts w:ascii="Arial" w:cs="Arial" w:eastAsia="Arial" w:hAnsi="Arial"/>
          <w:sz w:val="16"/>
          <w:szCs w:val="16"/>
          <w:color w:val="auto"/>
        </w:rPr>
        <w:t>While our significant accounting policies are described in the notes to our consolidated financial statements included elsewhere in this Annual Report on Form 10-K, we believe that the following critical accounting policies are most important to understanding and evaluating our reported financial results and future performance, as these policies relate to the more significant areas involving management’s judgments and estimates.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04"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We record accrued expenses for estimated costs of our research and development activities conducted by third-party service providers, which include the conduct of clinical trials and nonclinical studies. We record the estimated costs of research and development activities based upon the estimated amount of services provided but not yet invoiced and include these costs in accrued liabilities in the consolidated balance sheets and within research and development expense in the consolidated statements of operations and comprehensive loss. These expenses are a significant component of our research and development costs. We record accrued expenses for these costs based on factors such as estimates of the work completed and in accordance with agreements established with these third-party service providers. Any payments made in advance of services provided are recorded as prepaid expenses and other assets, which are expensed as the contracted services are performed.</w:t>
      </w:r>
    </w:p>
    <w:p>
      <w:pPr>
        <w:spacing w:after="0" w:line="72"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We estimate the amount of work completed through discussions with internal personnel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could vary from actuals and result in us reporting amounts that are too high or too low in any particular period. Our accrued expenses are dependent, in part, upon the receipt of timely and accurate reporting from clinical research organizations and other third-party service providers. For the periods presented, we have experienced no material differences between our accrued expenses and actual expenses.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We expense research and development costs as incurred. Acquired intangible assets are expensed as research and development if, at the time of payment, the technology is under development; is not approved by the U.S. Food and Drug Administration or other regulatory agencies for marketing; has not reached technical feasibility; or otherwise has no foreseeable alternative future use.</w:t>
      </w:r>
    </w:p>
    <w:p>
      <w:pPr>
        <w:spacing w:after="0" w:line="7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Research and development expenses consist of costs incurred in performing research and development activities, including salaries, stock-based compensation and benefits, facilities costs, depreciation, and third-party license fees. Non-refundable prepayments for goods or services that will be used or rendered for future research and development activities are expensed as incurred. In-process research and development (IPR&amp;D) expense represents the costs to acquire technologies to be used in research and development that have not reached technological feasibility or have no alternative future uses and thus are expensed as incurred. IPR&amp;D expense also includes upfront license fees and milestones paid to collaborators for technologies with no alternative use.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We measure stock options and other stock-based awards granted to employees, directors and other service providers based on their fair value on the date of grant and recognize compensation expense of those awards over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the requisite service period, which is generally the vesting period of the respective award. We recognize the impact of forfeitures on stock-based compensation expense as forfeitures occur. We apply the straight-line method of expense recognition to all awards with only service-based vesting conditions. During the year ended December 31, 2021, we did not grant any stock-based awards with performance-based vesting conditions. During the year ended December 31, 2020, we granted stock-based awards with performance-based vesting conditions. We recognize compensation expense related to these awards when it is determined that satisfying the performance conditions is probable using the accelerated attribution method over the requisite service period.</w:t>
      </w:r>
    </w:p>
    <w:p>
      <w:pPr>
        <w:spacing w:after="0" w:line="189"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We estimate the fair value of each stock option grant on the date of grant using the Black-Scholes option-pricing model, which requires the use of highly subjective assumptions including:</w:t>
      </w:r>
    </w:p>
    <w:p>
      <w:pPr>
        <w:spacing w:after="0" w:line="63" w:lineRule="exact"/>
        <w:rPr>
          <w:sz w:val="20"/>
          <w:szCs w:val="20"/>
          <w:color w:val="auto"/>
        </w:rPr>
      </w:pPr>
    </w:p>
    <w:p>
      <w:pPr>
        <w:ind w:left="1020" w:right="160" w:hanging="503"/>
        <w:spacing w:after="0" w:line="243"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Expected term—We have opted to use the “simplified method” for estimating the expected term of plain-vanilla options, whereby the expected term equals the arithmetic average of the vesting term and the original contractual term of the option (generally 10 years). We estimated the expected term of performance-based vesting options based on the expected life of the options to remain outstanding, which is estimated to be materially consistent with time-vesting options.</w:t>
      </w:r>
    </w:p>
    <w:p>
      <w:pPr>
        <w:spacing w:after="0" w:line="79"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Risk-free interest rate—The risk-free rate assumption is based on the U.S. Treasury instruments with maturities similar to the expected term of our stock options.</w:t>
      </w:r>
    </w:p>
    <w:p>
      <w:pPr>
        <w:spacing w:after="0" w:line="62"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Expected dividend—We have not issued any dividends and do not anticipate to issue dividends on our common stock. As a result, we have estimated the dividend yield to be zero.</w:t>
      </w:r>
    </w:p>
    <w:p>
      <w:pPr>
        <w:spacing w:after="0" w:line="62" w:lineRule="exact"/>
        <w:rPr>
          <w:rFonts w:ascii="Arial" w:cs="Arial" w:eastAsia="Arial" w:hAnsi="Arial"/>
          <w:sz w:val="18"/>
          <w:szCs w:val="18"/>
          <w:color w:val="auto"/>
        </w:rPr>
      </w:pPr>
    </w:p>
    <w:p>
      <w:pPr>
        <w:ind w:left="1020" w:right="160" w:hanging="503"/>
        <w:spacing w:after="0" w:line="243"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Expected volatility—Due to our limited operating history and a lack of company-specific historical and implied volatility data, we have based our estimate of expected volatility on the historical volatility of a group of similar companies that are publicly traded. The historical volatility data was computed using the daily closing prices for the selected companies’ shares during the equivalent period of the calculated expected term of the stock-based awards.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08"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In April 2012, the Jumpstart Our Business Startups Act of 2012 (the JOBS Act), was enacted. Section 107 of the JOBS Act provides that an “emerging growth company” (an EGC) can take advantage of the extended transition period provided in Section 7(a)(2)(B) of the Securities Act for complying with new or revised accounting standards. Thus, an EGC can delay the adoption of certain accounting standards until those standards would otherwise apply to private companies. We have elected to use the extended transition period for any new or revised accounting standards during the period in which we remain an EGC; however, we may adopt certain new or revised accounting standards early.</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will remain an EGC until the earliest to occur of: (1) the last day of the fiscal year in which we have more than $1.07 billion in annual revenue;</w:t>
      </w:r>
    </w:p>
    <w:p>
      <w:pPr>
        <w:spacing w:after="0" w:line="35" w:lineRule="exact"/>
        <w:rPr>
          <w:sz w:val="20"/>
          <w:szCs w:val="20"/>
          <w:color w:val="auto"/>
        </w:rPr>
      </w:pPr>
    </w:p>
    <w:p>
      <w:pPr>
        <w:ind w:right="180" w:firstLine="8"/>
        <w:spacing w:after="0" w:line="239" w:lineRule="auto"/>
        <w:tabs>
          <w:tab w:leader="none" w:pos="2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81"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In addition, we intend to rely on the other exemptions and reduced reporting requirements provided to EGCs by the JOBS Act. Subject to certain conditions set forth in the JOBS Act, as an EGC, we are not required to, among other things, (i) provide an auditor’s attestation report on our system of internal controls over financial reporting pursuant to Section 404(b) of the Sarbanes-Oxley Act of 2002,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or (iv) disclose certain executive compensation-related items such as the correlation between executive compensation and performance and comparisons of the Chief Executive Officer’s compensation to median employee compensation.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08"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consolidated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Our cash, cash equivalents and investments of $205.8 million as of December 31, 2021, consist of bank deposits, money market funds, certificates of deposit and US Treasury available-for-sale securities. We are exposed to market risk related to changes in interest rates applicable to our investment portfolio of cash equivalents and short-term and long-term investments. Our primary exposure to market risk is interest income sensitivity, which is affected by changes in the general level of U.S. interest rates. Should U.S. interest rates decline, interest income would be reduced in future periods for short- and long-term investments which mature and the proceeds of which are reinvested in similar instruments at lower interest rates. Additionally, the fair value of our short-term and long-term investments is subject to change as a result of potential changes in market interest rates, including changes resulting from the impact of the COVID-19 pandemic. As of December 31, 2021, we estimate that a hypothetical 100 basis point adverse movement would not result in a material impact on our financial position or results of operations or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4"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We have employees and operations, including contracts with third-party vendors, in Europe through our subsidiary Aligos Belgium BVBA. We have similar, but more limited, operations in Australia and China. Though the functional currency in these locations is the U.S. dollar, we remeasure transactions initially recorded in local currencies in these locations, the Euro, Australian dollar and Chinese Yuan, respectively, to the U.S. dollars periodically. As such, we are exposed to foreign currency exchange risk as the underlying contracts to pay employees or vendors in these locations are generally denominated in the local currencies. A decline in the value of the U.S. dollar relative to these currencies would increase our cost of doing business in these locations. We are subject to foreign currency transaction gains or losses on our contracts denominated in foreign currencies. To date, foreign currency transaction gains and losses have not been material to our financial statements, and we have not had a formal hedging program with respect to foreign currency. A 10% increase or decrease in current exchange rates would not have a material effect on our financial position or results of operations or cash flows.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4"/>
        </w:trPr>
        <w:tc>
          <w:tcPr>
            <w:tcW w:w="946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780" w:type="dxa"/>
            <w:vAlign w:val="bottom"/>
          </w:tcPr>
          <w:p>
            <w:pPr>
              <w:spacing w:after="0"/>
              <w:rPr>
                <w:sz w:val="20"/>
                <w:szCs w:val="20"/>
                <w:color w:val="auto"/>
              </w:rPr>
            </w:pPr>
          </w:p>
        </w:tc>
      </w:tr>
      <w:tr>
        <w:trPr>
          <w:trHeight w:val="405"/>
        </w:trPr>
        <w:tc>
          <w:tcPr>
            <w:tcW w:w="9460" w:type="dxa"/>
            <w:vAlign w:val="bottom"/>
            <w:gridSpan w:val="8"/>
          </w:tcPr>
          <w:p>
            <w:pPr>
              <w:spacing w:after="0"/>
              <w:rPr>
                <w:sz w:val="20"/>
                <w:szCs w:val="20"/>
                <w:color w:val="auto"/>
              </w:rPr>
            </w:pPr>
            <w:r>
              <w:rPr>
                <w:rFonts w:ascii="Arial" w:cs="Arial" w:eastAsia="Arial" w:hAnsi="Arial"/>
                <w:sz w:val="18"/>
                <w:szCs w:val="18"/>
                <w:color w:val="auto"/>
              </w:rPr>
              <w:t>Index to Financial Statements</w:t>
            </w:r>
          </w:p>
        </w:tc>
        <w:tc>
          <w:tcPr>
            <w:tcW w:w="1780" w:type="dxa"/>
            <w:vAlign w:val="bottom"/>
          </w:tcPr>
          <w:p>
            <w:pPr>
              <w:spacing w:after="0"/>
              <w:rPr>
                <w:sz w:val="24"/>
                <w:szCs w:val="24"/>
                <w:color w:val="auto"/>
              </w:rPr>
            </w:pPr>
          </w:p>
        </w:tc>
      </w:tr>
      <w:tr>
        <w:trPr>
          <w:trHeight w:val="364"/>
        </w:trPr>
        <w:tc>
          <w:tcPr>
            <w:tcW w:w="460" w:type="dxa"/>
            <w:vAlign w:val="bottom"/>
          </w:tcPr>
          <w:p>
            <w:pPr>
              <w:spacing w:after="0"/>
              <w:rPr>
                <w:sz w:val="24"/>
                <w:szCs w:val="24"/>
                <w:color w:val="auto"/>
              </w:rPr>
            </w:pPr>
          </w:p>
        </w:tc>
        <w:tc>
          <w:tcPr>
            <w:tcW w:w="9000" w:type="dxa"/>
            <w:vAlign w:val="bottom"/>
            <w:gridSpan w:val="7"/>
          </w:tcPr>
          <w:p>
            <w:pPr>
              <w:spacing w:after="0"/>
              <w:rPr>
                <w:rFonts w:ascii="Arial" w:cs="Arial" w:eastAsia="Arial" w:hAnsi="Arial"/>
                <w:sz w:val="18"/>
                <w:szCs w:val="18"/>
                <w:color w:val="0563C1"/>
              </w:rPr>
            </w:pPr>
            <w:hyperlink w:anchor="page122">
              <w:r>
                <w:rPr>
                  <w:rFonts w:ascii="Arial" w:cs="Arial" w:eastAsia="Arial" w:hAnsi="Arial"/>
                  <w:sz w:val="18"/>
                  <w:szCs w:val="18"/>
                  <w:color w:val="0563C1"/>
                </w:rPr>
                <w:t>Report of Independent Registered Public Accounting Firm (PCAOB ID 42)</w:t>
              </w:r>
            </w:hyperlink>
          </w:p>
        </w:tc>
        <w:tc>
          <w:tcPr>
            <w:tcW w:w="17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183"/>
        </w:trPr>
        <w:tc>
          <w:tcPr>
            <w:tcW w:w="460" w:type="dxa"/>
            <w:vAlign w:val="bottom"/>
          </w:tcPr>
          <w:p>
            <w:pPr>
              <w:spacing w:after="0"/>
              <w:rPr>
                <w:sz w:val="15"/>
                <w:szCs w:val="15"/>
                <w:color w:val="auto"/>
              </w:rPr>
            </w:pPr>
          </w:p>
        </w:tc>
        <w:tc>
          <w:tcPr>
            <w:tcW w:w="5440" w:type="dxa"/>
            <w:vAlign w:val="bottom"/>
            <w:tcBorders>
              <w:top w:val="single" w:sz="8" w:color="0563C1"/>
            </w:tcBorders>
            <w:gridSpan w:val="5"/>
          </w:tcPr>
          <w:p>
            <w:pPr>
              <w:spacing w:after="0" w:line="182" w:lineRule="exact"/>
              <w:rPr>
                <w:rFonts w:ascii="Arial" w:cs="Arial" w:eastAsia="Arial" w:hAnsi="Arial"/>
                <w:sz w:val="18"/>
                <w:szCs w:val="18"/>
                <w:color w:val="0563C1"/>
              </w:rPr>
            </w:pPr>
            <w:hyperlink w:anchor="page123">
              <w:r>
                <w:rPr>
                  <w:rFonts w:ascii="Arial" w:cs="Arial" w:eastAsia="Arial" w:hAnsi="Arial"/>
                  <w:sz w:val="18"/>
                  <w:szCs w:val="18"/>
                  <w:color w:val="0563C1"/>
                </w:rPr>
                <w:t>Consolidated Balance Sheets</w:t>
              </w:r>
            </w:hyperlink>
          </w:p>
        </w:tc>
        <w:tc>
          <w:tcPr>
            <w:tcW w:w="2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118</w:t>
            </w:r>
          </w:p>
        </w:tc>
      </w:tr>
      <w:tr>
        <w:trPr>
          <w:trHeight w:val="183"/>
        </w:trPr>
        <w:tc>
          <w:tcPr>
            <w:tcW w:w="460" w:type="dxa"/>
            <w:vAlign w:val="bottom"/>
          </w:tcPr>
          <w:p>
            <w:pPr>
              <w:spacing w:after="0"/>
              <w:rPr>
                <w:sz w:val="15"/>
                <w:szCs w:val="15"/>
                <w:color w:val="auto"/>
              </w:rPr>
            </w:pPr>
          </w:p>
        </w:tc>
        <w:tc>
          <w:tcPr>
            <w:tcW w:w="2100" w:type="dxa"/>
            <w:vAlign w:val="bottom"/>
            <w:tcBorders>
              <w:top w:val="single" w:sz="8" w:color="0563C1"/>
              <w:bottom w:val="single" w:sz="8" w:color="0563C1"/>
            </w:tcBorders>
          </w:tcPr>
          <w:p>
            <w:pPr>
              <w:spacing w:after="0" w:line="182" w:lineRule="exact"/>
              <w:rPr>
                <w:rFonts w:ascii="Arial" w:cs="Arial" w:eastAsia="Arial" w:hAnsi="Arial"/>
                <w:sz w:val="18"/>
                <w:szCs w:val="18"/>
                <w:color w:val="0563C1"/>
                <w:w w:val="94"/>
              </w:rPr>
            </w:pPr>
            <w:hyperlink w:anchor="page124">
              <w:r>
                <w:rPr>
                  <w:rFonts w:ascii="Arial" w:cs="Arial" w:eastAsia="Arial" w:hAnsi="Arial"/>
                  <w:sz w:val="18"/>
                  <w:szCs w:val="18"/>
                  <w:color w:val="0563C1"/>
                  <w:w w:val="94"/>
                </w:rPr>
                <w:t>Consolidated Statements of</w:t>
              </w:r>
            </w:hyperlink>
          </w:p>
        </w:tc>
        <w:tc>
          <w:tcPr>
            <w:tcW w:w="2580" w:type="dxa"/>
            <w:vAlign w:val="bottom"/>
            <w:tcBorders>
              <w:bottom w:val="single" w:sz="8" w:color="0563C1"/>
            </w:tcBorders>
            <w:gridSpan w:val="3"/>
          </w:tcPr>
          <w:p>
            <w:pPr>
              <w:spacing w:after="0" w:line="182" w:lineRule="exact"/>
              <w:rPr>
                <w:rFonts w:ascii="Arial" w:cs="Arial" w:eastAsia="Arial" w:hAnsi="Arial"/>
                <w:sz w:val="18"/>
                <w:szCs w:val="18"/>
                <w:color w:val="0563C1"/>
                <w:w w:val="86"/>
              </w:rPr>
            </w:pPr>
            <w:hyperlink w:anchor="page124">
              <w:r>
                <w:rPr>
                  <w:rFonts w:ascii="Arial" w:cs="Arial" w:eastAsia="Arial" w:hAnsi="Arial"/>
                  <w:sz w:val="18"/>
                  <w:szCs w:val="18"/>
                  <w:color w:val="0563C1"/>
                  <w:w w:val="86"/>
                </w:rPr>
                <w:t>Operations and Comprehensive Loss</w:t>
              </w:r>
            </w:hyperlink>
          </w:p>
        </w:tc>
        <w:tc>
          <w:tcPr>
            <w:tcW w:w="4320" w:type="dxa"/>
            <w:vAlign w:val="bottom"/>
            <w:gridSpan w:val="3"/>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119</w:t>
            </w:r>
          </w:p>
        </w:tc>
      </w:tr>
      <w:tr>
        <w:trPr>
          <w:trHeight w:val="183"/>
        </w:trPr>
        <w:tc>
          <w:tcPr>
            <w:tcW w:w="460" w:type="dxa"/>
            <w:vAlign w:val="bottom"/>
          </w:tcPr>
          <w:p>
            <w:pPr>
              <w:spacing w:after="0"/>
              <w:rPr>
                <w:sz w:val="15"/>
                <w:szCs w:val="15"/>
                <w:color w:val="auto"/>
              </w:rPr>
            </w:pPr>
          </w:p>
        </w:tc>
        <w:tc>
          <w:tcPr>
            <w:tcW w:w="9000" w:type="dxa"/>
            <w:vAlign w:val="bottom"/>
            <w:gridSpan w:val="7"/>
          </w:tcPr>
          <w:p>
            <w:pPr>
              <w:spacing w:after="0" w:line="182" w:lineRule="exact"/>
              <w:rPr>
                <w:rFonts w:ascii="Arial" w:cs="Arial" w:eastAsia="Arial" w:hAnsi="Arial"/>
                <w:sz w:val="18"/>
                <w:szCs w:val="18"/>
                <w:color w:val="0563C1"/>
              </w:rPr>
            </w:pPr>
            <w:hyperlink w:anchor="page125">
              <w:r>
                <w:rPr>
                  <w:rFonts w:ascii="Arial" w:cs="Arial" w:eastAsia="Arial" w:hAnsi="Arial"/>
                  <w:sz w:val="18"/>
                  <w:szCs w:val="18"/>
                  <w:color w:val="0563C1"/>
                </w:rPr>
                <w:t>Consolidated Statements of Redeemable Convertible Preferred Stock and Stockholders’ Equity (Deficit)</w:t>
              </w:r>
            </w:hyperlink>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120</w:t>
            </w:r>
          </w:p>
        </w:tc>
      </w:tr>
      <w:tr>
        <w:trPr>
          <w:trHeight w:val="183"/>
        </w:trPr>
        <w:tc>
          <w:tcPr>
            <w:tcW w:w="460" w:type="dxa"/>
            <w:vAlign w:val="bottom"/>
          </w:tcPr>
          <w:p>
            <w:pPr>
              <w:spacing w:after="0"/>
              <w:rPr>
                <w:sz w:val="15"/>
                <w:szCs w:val="15"/>
                <w:color w:val="auto"/>
              </w:rPr>
            </w:pPr>
          </w:p>
        </w:tc>
        <w:tc>
          <w:tcPr>
            <w:tcW w:w="2880" w:type="dxa"/>
            <w:vAlign w:val="bottom"/>
            <w:tcBorders>
              <w:top w:val="single" w:sz="8" w:color="0563C1"/>
              <w:bottom w:val="single" w:sz="8" w:color="0563C1"/>
            </w:tcBorders>
            <w:gridSpan w:val="2"/>
          </w:tcPr>
          <w:p>
            <w:pPr>
              <w:spacing w:after="0" w:line="182" w:lineRule="exact"/>
              <w:rPr>
                <w:rFonts w:ascii="Arial" w:cs="Arial" w:eastAsia="Arial" w:hAnsi="Arial"/>
                <w:sz w:val="18"/>
                <w:szCs w:val="18"/>
                <w:color w:val="0563C1"/>
                <w:w w:val="89"/>
              </w:rPr>
            </w:pPr>
            <w:hyperlink w:anchor="page126">
              <w:r>
                <w:rPr>
                  <w:rFonts w:ascii="Arial" w:cs="Arial" w:eastAsia="Arial" w:hAnsi="Arial"/>
                  <w:sz w:val="18"/>
                  <w:szCs w:val="18"/>
                  <w:color w:val="0563C1"/>
                  <w:w w:val="89"/>
                </w:rPr>
                <w:t>Consolidated Statements of Cash Flows</w:t>
              </w:r>
            </w:hyperlink>
          </w:p>
        </w:tc>
        <w:tc>
          <w:tcPr>
            <w:tcW w:w="4640" w:type="dxa"/>
            <w:vAlign w:val="bottom"/>
            <w:tcBorders>
              <w:top w:val="single" w:sz="8" w:color="0563C1"/>
            </w:tcBorders>
            <w:gridSpan w:val="4"/>
          </w:tcPr>
          <w:p>
            <w:pPr>
              <w:spacing w:after="0"/>
              <w:rPr>
                <w:sz w:val="15"/>
                <w:szCs w:val="15"/>
                <w:color w:val="auto"/>
              </w:rPr>
            </w:pPr>
          </w:p>
        </w:tc>
        <w:tc>
          <w:tcPr>
            <w:tcW w:w="1480" w:type="dxa"/>
            <w:vAlign w:val="bottom"/>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121</w:t>
            </w:r>
          </w:p>
        </w:tc>
      </w:tr>
      <w:tr>
        <w:trPr>
          <w:trHeight w:val="183"/>
        </w:trPr>
        <w:tc>
          <w:tcPr>
            <w:tcW w:w="460" w:type="dxa"/>
            <w:vAlign w:val="bottom"/>
          </w:tcPr>
          <w:p>
            <w:pPr>
              <w:spacing w:after="0"/>
              <w:rPr>
                <w:sz w:val="15"/>
                <w:szCs w:val="15"/>
                <w:color w:val="auto"/>
              </w:rPr>
            </w:pPr>
          </w:p>
        </w:tc>
        <w:tc>
          <w:tcPr>
            <w:tcW w:w="3160" w:type="dxa"/>
            <w:vAlign w:val="bottom"/>
            <w:tcBorders>
              <w:bottom w:val="single" w:sz="8" w:color="0563C1"/>
            </w:tcBorders>
            <w:gridSpan w:val="3"/>
          </w:tcPr>
          <w:p>
            <w:pPr>
              <w:spacing w:after="0" w:line="182" w:lineRule="exact"/>
              <w:rPr>
                <w:rFonts w:ascii="Arial" w:cs="Arial" w:eastAsia="Arial" w:hAnsi="Arial"/>
                <w:sz w:val="18"/>
                <w:szCs w:val="18"/>
                <w:color w:val="0563C1"/>
                <w:w w:val="89"/>
              </w:rPr>
            </w:pPr>
            <w:hyperlink w:anchor="page128">
              <w:r>
                <w:rPr>
                  <w:rFonts w:ascii="Arial" w:cs="Arial" w:eastAsia="Arial" w:hAnsi="Arial"/>
                  <w:sz w:val="18"/>
                  <w:szCs w:val="18"/>
                  <w:color w:val="0563C1"/>
                  <w:w w:val="89"/>
                </w:rPr>
                <w:t>Notes to Consolidated Financial Statements</w:t>
              </w:r>
            </w:hyperlink>
          </w:p>
        </w:tc>
        <w:tc>
          <w:tcPr>
            <w:tcW w:w="5840" w:type="dxa"/>
            <w:vAlign w:val="bottom"/>
            <w:gridSpan w:val="4"/>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123</w:t>
            </w:r>
          </w:p>
        </w:tc>
      </w:tr>
      <w:tr>
        <w:trPr>
          <w:trHeight w:val="642"/>
        </w:trPr>
        <w:tc>
          <w:tcPr>
            <w:tcW w:w="5900" w:type="dxa"/>
            <w:vAlign w:val="bottom"/>
            <w:gridSpan w:val="6"/>
          </w:tcPr>
          <w:p>
            <w:pPr>
              <w:jc w:val="right"/>
              <w:ind w:right="140"/>
              <w:spacing w:after="0"/>
              <w:rPr>
                <w:sz w:val="20"/>
                <w:szCs w:val="20"/>
                <w:color w:val="auto"/>
              </w:rPr>
            </w:pPr>
            <w:r>
              <w:rPr>
                <w:rFonts w:ascii="Arial" w:cs="Arial" w:eastAsia="Arial" w:hAnsi="Arial"/>
                <w:sz w:val="18"/>
                <w:szCs w:val="18"/>
                <w:color w:val="auto"/>
              </w:rPr>
              <w:t>116</w:t>
            </w:r>
          </w:p>
        </w:tc>
        <w:tc>
          <w:tcPr>
            <w:tcW w:w="2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02"/>
        </w:trPr>
        <w:tc>
          <w:tcPr>
            <w:tcW w:w="46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Aligos Therapeutics, Inc.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have audited the accompanying consolidated balance sheets of Aligos Therapeutics, Inc. (the Company) as of December 31, 2021 and 2020, the related consolidated statements of operations and comprehensive loss, changes in redeemable convertible preferred stock and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the years then ended, in conformity with U.S. generally accepted accounting principles.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9"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10, 2022</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22" w:name="page123"/>
    <w:bookmarkEnd w:id="122"/>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5"/>
              </w:rPr>
              <w:t>December 31,</w:t>
            </w:r>
          </w:p>
        </w:tc>
        <w:tc>
          <w:tcPr>
            <w:tcW w:w="180" w:type="dxa"/>
            <w:vAlign w:val="bottom"/>
          </w:tcPr>
          <w:p>
            <w:pPr>
              <w:spacing w:after="0"/>
              <w:rPr>
                <w:sz w:val="17"/>
                <w:szCs w:val="17"/>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21"/>
        </w:trPr>
        <w:tc>
          <w:tcPr>
            <w:tcW w:w="7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186,816</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220,383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20"/>
              <w:spacing w:after="0" w:line="202" w:lineRule="exact"/>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3,918</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23,130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20"/>
              <w:spacing w:after="0" w:line="202" w:lineRule="exact"/>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13,526</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204,424</w:t>
            </w: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250,017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Pr>
          <w:p>
            <w:pPr>
              <w:ind w:left="20"/>
              <w:spacing w:after="0" w:line="196" w:lineRule="exact"/>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8,789</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6,901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6,180</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Long-term investments</w:t>
            </w: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15,110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866</w:t>
            </w: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Pr>
          <w:p>
            <w:pPr>
              <w:ind w:left="380"/>
              <w:spacing w:after="0" w:line="196" w:lineRule="exact"/>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235,369</w:t>
            </w:r>
          </w:p>
        </w:tc>
        <w:tc>
          <w:tcPr>
            <w:tcW w:w="3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265,302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LIABILITIES, PREFERRED STOCK,</w:t>
            </w: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AND STOCKHOLDERS’ EQUITY</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20"/>
              <w:spacing w:after="0" w:line="202" w:lineRule="exact"/>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3,015</w:t>
            </w:r>
          </w:p>
        </w:tc>
        <w:tc>
          <w:tcPr>
            <w:tcW w:w="30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3,313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25,394</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20"/>
              <w:spacing w:after="0" w:line="202" w:lineRule="exact"/>
              <w:rPr>
                <w:sz w:val="20"/>
                <w:szCs w:val="20"/>
                <w:color w:val="auto"/>
              </w:rPr>
            </w:pPr>
            <w:r>
              <w:rPr>
                <w:rFonts w:ascii="Arial" w:cs="Arial" w:eastAsia="Arial" w:hAnsi="Arial"/>
                <w:sz w:val="18"/>
                <w:szCs w:val="18"/>
                <w:color w:val="auto"/>
              </w:rPr>
              <w:t>Operating lease liabilities, current</w:t>
            </w: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2,769</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2,442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Finance lease liabilities, current</w:t>
            </w: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20"/>
              <w:spacing w:after="0" w:line="202" w:lineRule="exact"/>
              <w:rPr>
                <w:sz w:val="20"/>
                <w:szCs w:val="20"/>
                <w:color w:val="auto"/>
              </w:rPr>
            </w:pPr>
            <w:r>
              <w:rPr>
                <w:rFonts w:ascii="Arial" w:cs="Arial" w:eastAsia="Arial" w:hAnsi="Arial"/>
                <w:sz w:val="18"/>
                <w:szCs w:val="18"/>
                <w:color w:val="auto"/>
              </w:rPr>
              <w:t>Deferred Revenue from collaborations, current</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7,641</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38,957</w:t>
            </w: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30,274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Pr>
          <w:p>
            <w:pPr>
              <w:ind w:left="20"/>
              <w:spacing w:after="0" w:line="196" w:lineRule="exact"/>
              <w:rPr>
                <w:sz w:val="20"/>
                <w:szCs w:val="20"/>
                <w:color w:val="auto"/>
              </w:rPr>
            </w:pPr>
            <w:r>
              <w:rPr>
                <w:rFonts w:ascii="Arial" w:cs="Arial" w:eastAsia="Arial" w:hAnsi="Arial"/>
                <w:sz w:val="18"/>
                <w:szCs w:val="18"/>
                <w:color w:val="auto"/>
              </w:rPr>
              <w:t>Operating lease liabilities, net of current portion</w:t>
            </w:r>
          </w:p>
        </w:tc>
        <w:tc>
          <w:tcPr>
            <w:tcW w:w="18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11,287</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10,371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 lease liabilities, net of current portion</w:t>
            </w: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261</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Long term liabilities</w:t>
            </w: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revenue from collaborations</w:t>
            </w:r>
          </w:p>
        </w:tc>
        <w:tc>
          <w:tcPr>
            <w:tcW w:w="18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50,638</w:t>
            </w:r>
          </w:p>
        </w:tc>
        <w:tc>
          <w:tcPr>
            <w:tcW w:w="30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45,263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Commitments and contingencies (Note 13)</w:t>
            </w: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52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Preferred Stock, $0.0001 par value; 10,000,000 shares authorized as of</w:t>
            </w: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520" w:type="dxa"/>
            <w:vAlign w:val="bottom"/>
            <w:shd w:val="clear" w:color="auto" w:fill="CFF0FC"/>
          </w:tcPr>
          <w:p>
            <w:pPr>
              <w:ind w:left="340"/>
              <w:spacing w:after="0" w:line="176" w:lineRule="exact"/>
              <w:rPr>
                <w:sz w:val="20"/>
                <w:szCs w:val="20"/>
                <w:color w:val="auto"/>
              </w:rPr>
            </w:pPr>
            <w:r>
              <w:rPr>
                <w:rFonts w:ascii="Arial" w:cs="Arial" w:eastAsia="Arial" w:hAnsi="Arial"/>
                <w:sz w:val="18"/>
                <w:szCs w:val="18"/>
                <w:color w:val="auto"/>
              </w:rPr>
              <w:t>December 31, 2021 and 2020, respectively; no shares issued and</w:t>
            </w:r>
          </w:p>
        </w:tc>
        <w:tc>
          <w:tcPr>
            <w:tcW w:w="180" w:type="dxa"/>
            <w:vAlign w:val="bottom"/>
            <w:shd w:val="clear" w:color="auto" w:fill="CFF0FC"/>
          </w:tcPr>
          <w:p>
            <w:pPr>
              <w:spacing w:after="0"/>
              <w:rPr>
                <w:sz w:val="15"/>
                <w:szCs w:val="15"/>
                <w:color w:val="auto"/>
              </w:rPr>
            </w:pPr>
          </w:p>
        </w:tc>
        <w:tc>
          <w:tcPr>
            <w:tcW w:w="1700" w:type="dxa"/>
            <w:vAlign w:val="bottom"/>
            <w:gridSpan w:val="2"/>
            <w:vMerge w:val="restart"/>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5"/>
                <w:szCs w:val="15"/>
                <w:color w:val="auto"/>
              </w:rPr>
            </w:pPr>
          </w:p>
        </w:tc>
        <w:tc>
          <w:tcPr>
            <w:tcW w:w="14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outstanding as of December 31, 2021 and 2020, respectively.</w:t>
            </w:r>
          </w:p>
        </w:tc>
        <w:tc>
          <w:tcPr>
            <w:tcW w:w="180" w:type="dxa"/>
            <w:vAlign w:val="bottom"/>
            <w:shd w:val="clear" w:color="auto" w:fill="CFF0FC"/>
          </w:tcPr>
          <w:p>
            <w:pPr>
              <w:spacing w:after="0"/>
              <w:rPr>
                <w:sz w:val="18"/>
                <w:szCs w:val="18"/>
                <w:color w:val="auto"/>
              </w:rPr>
            </w:pPr>
          </w:p>
        </w:tc>
        <w:tc>
          <w:tcPr>
            <w:tcW w:w="170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520" w:type="dxa"/>
            <w:vAlign w:val="bottom"/>
          </w:tcPr>
          <w:p>
            <w:pPr>
              <w:ind w:left="200"/>
              <w:spacing w:after="0" w:line="162" w:lineRule="exact"/>
              <w:rPr>
                <w:sz w:val="20"/>
                <w:szCs w:val="20"/>
                <w:color w:val="auto"/>
              </w:rPr>
            </w:pPr>
            <w:r>
              <w:rPr>
                <w:rFonts w:ascii="Arial" w:cs="Arial" w:eastAsia="Arial" w:hAnsi="Arial"/>
                <w:sz w:val="18"/>
                <w:szCs w:val="18"/>
                <w:color w:val="auto"/>
              </w:rPr>
              <w:t>Common stock, $0.0001 par value; 320,000,000 shares</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520" w:type="dxa"/>
            <w:vAlign w:val="bottom"/>
          </w:tcPr>
          <w:p>
            <w:pPr>
              <w:ind w:left="340"/>
              <w:spacing w:after="0" w:line="176" w:lineRule="exact"/>
              <w:rPr>
                <w:sz w:val="20"/>
                <w:szCs w:val="20"/>
                <w:color w:val="auto"/>
              </w:rPr>
            </w:pPr>
            <w:r>
              <w:rPr>
                <w:rFonts w:ascii="Arial" w:cs="Arial" w:eastAsia="Arial" w:hAnsi="Arial"/>
                <w:sz w:val="18"/>
                <w:szCs w:val="18"/>
                <w:color w:val="auto"/>
              </w:rPr>
              <w:t>authorized as of December 31, 2021 and 2020, respectively;</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20" w:type="dxa"/>
            <w:vAlign w:val="bottom"/>
          </w:tcPr>
          <w:p>
            <w:pPr>
              <w:ind w:left="340"/>
              <w:spacing w:after="0" w:line="176" w:lineRule="exact"/>
              <w:rPr>
                <w:sz w:val="20"/>
                <w:szCs w:val="20"/>
                <w:color w:val="auto"/>
              </w:rPr>
            </w:pPr>
            <w:r>
              <w:rPr>
                <w:rFonts w:ascii="Arial" w:cs="Arial" w:eastAsia="Arial" w:hAnsi="Arial"/>
                <w:sz w:val="18"/>
                <w:szCs w:val="18"/>
                <w:color w:val="auto"/>
              </w:rPr>
              <w:t>42,690,229 and 38,120,606 shares issued and outstanding as of</w:t>
            </w:r>
          </w:p>
        </w:tc>
        <w:tc>
          <w:tcPr>
            <w:tcW w:w="18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340"/>
              <w:spacing w:after="0"/>
              <w:rPr>
                <w:sz w:val="20"/>
                <w:szCs w:val="20"/>
                <w:color w:val="auto"/>
              </w:rPr>
            </w:pPr>
            <w:r>
              <w:rPr>
                <w:rFonts w:ascii="Arial" w:cs="Arial" w:eastAsia="Arial" w:hAnsi="Arial"/>
                <w:sz w:val="18"/>
                <w:szCs w:val="18"/>
                <w:color w:val="auto"/>
              </w:rPr>
              <w:t>December 31, 2021 and 2020, respectively</w:t>
            </w:r>
          </w:p>
        </w:tc>
        <w:tc>
          <w:tcPr>
            <w:tcW w:w="1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487,347</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394,963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20"/>
              <w:spacing w:after="0" w:line="202" w:lineRule="exact"/>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7"/>
                <w:szCs w:val="17"/>
                <w:color w:val="auto"/>
              </w:rPr>
            </w:pPr>
          </w:p>
        </w:tc>
        <w:tc>
          <w:tcPr>
            <w:tcW w:w="17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(303,072 )</w:t>
            </w:r>
          </w:p>
        </w:tc>
        <w:tc>
          <w:tcPr>
            <w:tcW w:w="180" w:type="dxa"/>
            <w:vAlign w:val="bottom"/>
          </w:tcPr>
          <w:p>
            <w:pPr>
              <w:spacing w:after="0"/>
              <w:rPr>
                <w:sz w:val="17"/>
                <w:szCs w:val="17"/>
                <w:color w:val="auto"/>
              </w:rPr>
            </w:pP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(174,740 )</w:t>
            </w: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452</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196"/>
        </w:trPr>
        <w:tc>
          <w:tcPr>
            <w:tcW w:w="752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184,731</w:t>
            </w:r>
          </w:p>
        </w:tc>
        <w:tc>
          <w:tcPr>
            <w:tcW w:w="30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220,039</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liabilities, redeemable convertible preferred stock, and stockholders’ equity</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235,369</w:t>
            </w: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265,302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-4239895</wp:posOffset>
            </wp:positionV>
            <wp:extent cx="7747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-4239895</wp:posOffset>
            </wp:positionV>
            <wp:extent cx="6858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-3716655</wp:posOffset>
            </wp:positionV>
            <wp:extent cx="7747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-3716655</wp:posOffset>
            </wp:positionV>
            <wp:extent cx="6858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-2405380</wp:posOffset>
            </wp:positionV>
            <wp:extent cx="7747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-2405380</wp:posOffset>
            </wp:positionV>
            <wp:extent cx="6858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-1882140</wp:posOffset>
            </wp:positionV>
            <wp:extent cx="7747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-1882140</wp:posOffset>
            </wp:positionV>
            <wp:extent cx="6858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-279400</wp:posOffset>
            </wp:positionV>
            <wp:extent cx="7747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-279400</wp:posOffset>
            </wp:positionV>
            <wp:extent cx="6858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-5080</wp:posOffset>
            </wp:positionV>
            <wp:extent cx="7747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-5080</wp:posOffset>
            </wp:positionV>
            <wp:extent cx="6858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24" w:right="519" w:bottom="1440" w:gutter="0" w:footer="0" w:header="0"/>
        </w:sectPr>
      </w:pPr>
    </w:p>
    <w:bookmarkStart w:id="123" w:name="page124"/>
    <w:bookmarkEnd w:id="123"/>
    <w:p>
      <w:pPr>
        <w:jc w:val="center"/>
        <w:ind w:right="-15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center"/>
              <w:ind w:right="461"/>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Pr>
          <w:p>
            <w:pPr>
              <w:spacing w:after="0"/>
              <w:rPr>
                <w:sz w:val="14"/>
                <w:szCs w:val="14"/>
                <w:color w:val="auto"/>
              </w:rPr>
            </w:pPr>
          </w:p>
        </w:tc>
        <w:tc>
          <w:tcPr>
            <w:tcW w:w="142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5"/>
        </w:trPr>
        <w:tc>
          <w:tcPr>
            <w:tcW w:w="7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center"/>
              <w:ind w:right="461"/>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5"/>
                <w:szCs w:val="15"/>
                <w:color w:val="auto"/>
              </w:rPr>
            </w:pPr>
          </w:p>
        </w:tc>
        <w:tc>
          <w:tcPr>
            <w:tcW w:w="142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7560" w:type="dxa"/>
            <w:vAlign w:val="bottom"/>
            <w:vMerge w:val="restart"/>
          </w:tcPr>
          <w:p>
            <w:pPr>
              <w:ind w:left="20"/>
              <w:spacing w:after="0"/>
              <w:rPr>
                <w:sz w:val="20"/>
                <w:szCs w:val="20"/>
                <w:color w:val="auto"/>
              </w:rPr>
            </w:pPr>
            <w:r>
              <w:rPr>
                <w:rFonts w:ascii="Arial" w:cs="Arial" w:eastAsia="Arial" w:hAnsi="Arial"/>
                <w:sz w:val="18"/>
                <w:szCs w:val="18"/>
                <w:color w:val="auto"/>
              </w:rPr>
              <w:t>Revenue from collaborations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560" w:type="dxa"/>
            <w:vAlign w:val="bottom"/>
            <w:vMerge w:val="continue"/>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4,359</w:t>
            </w:r>
          </w:p>
        </w:tc>
        <w:tc>
          <w:tcPr>
            <w:tcW w:w="28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104,153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79,890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28,527</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17,944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132,680</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97,834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(128,321</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(97,834</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7560" w:type="dxa"/>
            <w:vAlign w:val="bottom"/>
          </w:tcPr>
          <w:p>
            <w:pPr>
              <w:ind w:left="20"/>
              <w:spacing w:after="0" w:line="196" w:lineRule="exact"/>
              <w:rPr>
                <w:sz w:val="20"/>
                <w:szCs w:val="20"/>
                <w:color w:val="auto"/>
              </w:rPr>
            </w:pPr>
            <w:r>
              <w:rPr>
                <w:rFonts w:ascii="Arial" w:cs="Arial" w:eastAsia="Arial" w:hAnsi="Arial"/>
                <w:sz w:val="18"/>
                <w:szCs w:val="18"/>
                <w:color w:val="auto"/>
              </w:rPr>
              <w:t>Interest and other (expense) income, net</w:t>
            </w:r>
          </w:p>
        </w:tc>
        <w:tc>
          <w:tcPr>
            <w:tcW w:w="24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(10,548 )</w:t>
            </w:r>
          </w:p>
        </w:tc>
        <w:tc>
          <w:tcPr>
            <w:tcW w:w="0" w:type="dxa"/>
            <w:vAlign w:val="bottom"/>
          </w:tcPr>
          <w:p>
            <w:pPr>
              <w:spacing w:after="0"/>
              <w:rPr>
                <w:sz w:val="1"/>
                <w:szCs w:val="1"/>
                <w:color w:val="auto"/>
              </w:rPr>
            </w:pPr>
          </w:p>
        </w:tc>
      </w:tr>
      <w:tr>
        <w:trPr>
          <w:trHeight w:val="196"/>
        </w:trPr>
        <w:tc>
          <w:tcPr>
            <w:tcW w:w="756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Loss before income tax expense</w:t>
            </w:r>
          </w:p>
        </w:tc>
        <w:tc>
          <w:tcPr>
            <w:tcW w:w="2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(128,189</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(108,382</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7"/>
                <w:szCs w:val="17"/>
                <w:color w:val="auto"/>
              </w:rPr>
            </w:pPr>
          </w:p>
        </w:tc>
        <w:tc>
          <w:tcPr>
            <w:tcW w:w="162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(143 )</w:t>
            </w:r>
          </w:p>
        </w:tc>
        <w:tc>
          <w:tcPr>
            <w:tcW w:w="240" w:type="dxa"/>
            <w:vAlign w:val="bottom"/>
          </w:tcPr>
          <w:p>
            <w:pPr>
              <w:spacing w:after="0"/>
              <w:rPr>
                <w:sz w:val="17"/>
                <w:szCs w:val="17"/>
                <w:color w:val="auto"/>
              </w:rPr>
            </w:pP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196"/>
        </w:trPr>
        <w:tc>
          <w:tcPr>
            <w:tcW w:w="756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(128,332</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(108,543</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(loss) and income:</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Gain (loss) on pension plans</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749</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03"/>
        </w:trPr>
        <w:tc>
          <w:tcPr>
            <w:tcW w:w="7560" w:type="dxa"/>
            <w:vAlign w:val="bottom"/>
          </w:tcPr>
          <w:p>
            <w:pPr>
              <w:ind w:left="200"/>
              <w:spacing w:after="0" w:line="202" w:lineRule="exact"/>
              <w:rPr>
                <w:sz w:val="20"/>
                <w:szCs w:val="20"/>
                <w:color w:val="auto"/>
              </w:rPr>
            </w:pPr>
            <w:r>
              <w:rPr>
                <w:rFonts w:ascii="Arial" w:cs="Arial" w:eastAsia="Arial" w:hAnsi="Arial"/>
                <w:sz w:val="18"/>
                <w:szCs w:val="18"/>
                <w:color w:val="auto"/>
              </w:rPr>
              <w:t>(Loss) gain on available for sale investments</w:t>
            </w:r>
          </w:p>
        </w:tc>
        <w:tc>
          <w:tcPr>
            <w:tcW w:w="240" w:type="dxa"/>
            <w:vAlign w:val="bottom"/>
          </w:tcPr>
          <w:p>
            <w:pPr>
              <w:spacing w:after="0"/>
              <w:rPr>
                <w:sz w:val="17"/>
                <w:szCs w:val="17"/>
                <w:color w:val="auto"/>
              </w:rPr>
            </w:pPr>
          </w:p>
        </w:tc>
        <w:tc>
          <w:tcPr>
            <w:tcW w:w="162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(109 )</w:t>
            </w:r>
          </w:p>
        </w:tc>
        <w:tc>
          <w:tcPr>
            <w:tcW w:w="24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Comprehensive loss</w:t>
            </w: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(127,692</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(108,616</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7560" w:type="dxa"/>
            <w:vAlign w:val="bottom"/>
          </w:tcPr>
          <w:p>
            <w:pPr>
              <w:ind w:left="20"/>
              <w:spacing w:after="0" w:line="196" w:lineRule="exact"/>
              <w:rPr>
                <w:sz w:val="20"/>
                <w:szCs w:val="20"/>
                <w:color w:val="auto"/>
              </w:rPr>
            </w:pPr>
            <w:r>
              <w:rPr>
                <w:rFonts w:ascii="Arial" w:cs="Arial" w:eastAsia="Arial" w:hAnsi="Arial"/>
                <w:sz w:val="18"/>
                <w:szCs w:val="18"/>
                <w:color w:val="auto"/>
              </w:rPr>
              <w:t>Net loss per share, basic and diluted</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41"/>
              <w:spacing w:after="0" w:line="196" w:lineRule="exact"/>
              <w:rPr>
                <w:sz w:val="20"/>
                <w:szCs w:val="20"/>
                <w:color w:val="auto"/>
              </w:rPr>
            </w:pPr>
            <w:r>
              <w:rPr>
                <w:rFonts w:ascii="Arial" w:cs="Arial" w:eastAsia="Arial" w:hAnsi="Arial"/>
                <w:sz w:val="18"/>
                <w:szCs w:val="18"/>
                <w:color w:val="auto"/>
              </w:rPr>
              <w:t>(3.22 )</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(10.87 )</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 average shares of common stock, basic and diluted</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39,855,403</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9,988,191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-1616710</wp:posOffset>
            </wp:positionV>
            <wp:extent cx="6858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-1616710</wp:posOffset>
            </wp:positionV>
            <wp:extent cx="6032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-1342390</wp:posOffset>
            </wp:positionV>
            <wp:extent cx="6858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-1342390</wp:posOffset>
            </wp:positionV>
            <wp:extent cx="6032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-279400</wp:posOffset>
            </wp:positionV>
            <wp:extent cx="6858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-279400</wp:posOffset>
            </wp:positionV>
            <wp:extent cx="6032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-5080</wp:posOffset>
            </wp:positionV>
            <wp:extent cx="6858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-5080</wp:posOffset>
            </wp:positionV>
            <wp:extent cx="6032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24" w:right="49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 equity (deficit)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tcPr>
          <w:p>
            <w:pPr>
              <w:ind w:left="20"/>
              <w:spacing w:after="0"/>
              <w:rPr>
                <w:sz w:val="20"/>
                <w:szCs w:val="20"/>
                <w:color w:val="auto"/>
              </w:rPr>
            </w:pPr>
            <w:r>
              <w:rPr>
                <w:rFonts w:ascii="Arial" w:cs="Arial" w:eastAsia="Arial" w:hAnsi="Arial"/>
                <w:sz w:val="11"/>
                <w:szCs w:val="11"/>
                <w:b w:val="1"/>
                <w:bCs w:val="1"/>
                <w:color w:val="auto"/>
              </w:rPr>
              <w:t>Accumulate</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1500" w:type="dxa"/>
            <w:vAlign w:val="bottom"/>
            <w:gridSpan w:val="5"/>
            <w:vMerge w:val="restart"/>
          </w:tcPr>
          <w:p>
            <w:pPr>
              <w:jc w:val="center"/>
              <w:ind w:right="160"/>
              <w:spacing w:after="0"/>
              <w:rPr>
                <w:sz w:val="20"/>
                <w:szCs w:val="20"/>
                <w:color w:val="auto"/>
              </w:rPr>
            </w:pPr>
            <w:r>
              <w:rPr>
                <w:rFonts w:ascii="Arial" w:cs="Arial" w:eastAsia="Arial" w:hAnsi="Arial"/>
                <w:sz w:val="11"/>
                <w:szCs w:val="11"/>
                <w:b w:val="1"/>
                <w:bCs w:val="1"/>
                <w:color w:val="auto"/>
                <w:w w:val="87"/>
              </w:rPr>
              <w:t>Series A Redeemable</w:t>
            </w:r>
          </w:p>
        </w:tc>
        <w:tc>
          <w:tcPr>
            <w:tcW w:w="1440" w:type="dxa"/>
            <w:vAlign w:val="bottom"/>
            <w:gridSpan w:val="5"/>
            <w:vMerge w:val="restart"/>
          </w:tcPr>
          <w:p>
            <w:pPr>
              <w:jc w:val="center"/>
              <w:ind w:right="60"/>
              <w:spacing w:after="0"/>
              <w:rPr>
                <w:sz w:val="20"/>
                <w:szCs w:val="20"/>
                <w:color w:val="auto"/>
              </w:rPr>
            </w:pPr>
            <w:r>
              <w:rPr>
                <w:rFonts w:ascii="Arial" w:cs="Arial" w:eastAsia="Arial" w:hAnsi="Arial"/>
                <w:sz w:val="11"/>
                <w:szCs w:val="11"/>
                <w:b w:val="1"/>
                <w:bCs w:val="1"/>
                <w:color w:val="auto"/>
                <w:w w:val="87"/>
              </w:rPr>
              <w:t>Series B-1 Redeemable</w:t>
            </w:r>
          </w:p>
        </w:tc>
        <w:tc>
          <w:tcPr>
            <w:tcW w:w="80" w:type="dxa"/>
            <w:vAlign w:val="bottom"/>
          </w:tcPr>
          <w:p>
            <w:pPr>
              <w:spacing w:after="0"/>
              <w:rPr>
                <w:sz w:val="9"/>
                <w:szCs w:val="9"/>
                <w:color w:val="auto"/>
              </w:rPr>
            </w:pPr>
          </w:p>
        </w:tc>
        <w:tc>
          <w:tcPr>
            <w:tcW w:w="1580" w:type="dxa"/>
            <w:vAlign w:val="bottom"/>
            <w:gridSpan w:val="6"/>
            <w:vMerge w:val="restart"/>
          </w:tcPr>
          <w:p>
            <w:pPr>
              <w:jc w:val="center"/>
              <w:ind w:right="180"/>
              <w:spacing w:after="0"/>
              <w:rPr>
                <w:sz w:val="20"/>
                <w:szCs w:val="20"/>
                <w:color w:val="auto"/>
              </w:rPr>
            </w:pPr>
            <w:r>
              <w:rPr>
                <w:rFonts w:ascii="Arial" w:cs="Arial" w:eastAsia="Arial" w:hAnsi="Arial"/>
                <w:sz w:val="11"/>
                <w:szCs w:val="11"/>
                <w:b w:val="1"/>
                <w:bCs w:val="1"/>
                <w:color w:val="auto"/>
                <w:w w:val="85"/>
              </w:rPr>
              <w:t>Series B-2 Redeemable</w:t>
            </w: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8"/>
              </w:rPr>
              <w:t>d</w:t>
            </w:r>
          </w:p>
        </w:tc>
        <w:tc>
          <w:tcPr>
            <w:tcW w:w="100" w:type="dxa"/>
            <w:vAlign w:val="bottom"/>
          </w:tcPr>
          <w:p>
            <w:pPr>
              <w:spacing w:after="0"/>
              <w:rPr>
                <w:sz w:val="9"/>
                <w:szCs w:val="9"/>
                <w:color w:val="auto"/>
              </w:rPr>
            </w:pPr>
          </w:p>
        </w:tc>
        <w:tc>
          <w:tcPr>
            <w:tcW w:w="54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6"/>
        </w:trPr>
        <w:tc>
          <w:tcPr>
            <w:tcW w:w="2500" w:type="dxa"/>
            <w:vAlign w:val="bottom"/>
          </w:tcPr>
          <w:p>
            <w:pPr>
              <w:spacing w:after="0"/>
              <w:rPr>
                <w:sz w:val="9"/>
                <w:szCs w:val="9"/>
                <w:color w:val="auto"/>
              </w:rPr>
            </w:pPr>
          </w:p>
        </w:tc>
        <w:tc>
          <w:tcPr>
            <w:tcW w:w="1500" w:type="dxa"/>
            <w:vAlign w:val="bottom"/>
            <w:gridSpan w:val="5"/>
            <w:vMerge w:val="continue"/>
          </w:tcPr>
          <w:p>
            <w:pPr>
              <w:spacing w:after="0"/>
              <w:rPr>
                <w:sz w:val="9"/>
                <w:szCs w:val="9"/>
                <w:color w:val="auto"/>
              </w:rPr>
            </w:pPr>
          </w:p>
        </w:tc>
        <w:tc>
          <w:tcPr>
            <w:tcW w:w="144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6"/>
            <w:vMerge w:val="continue"/>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1"/>
                <w:szCs w:val="11"/>
                <w:b w:val="1"/>
                <w:bCs w:val="1"/>
                <w:color w:val="auto"/>
                <w:w w:val="96"/>
              </w:rPr>
              <w:t>Additional</w:t>
            </w:r>
          </w:p>
        </w:tc>
        <w:tc>
          <w:tcPr>
            <w:tcW w:w="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Accumulate</w:t>
            </w:r>
          </w:p>
        </w:tc>
        <w:tc>
          <w:tcPr>
            <w:tcW w:w="100" w:type="dxa"/>
            <w:vAlign w:val="bottom"/>
          </w:tcPr>
          <w:p>
            <w:pPr>
              <w:spacing w:after="0"/>
              <w:rPr>
                <w:sz w:val="9"/>
                <w:szCs w:val="9"/>
                <w:color w:val="auto"/>
              </w:rPr>
            </w:pPr>
          </w:p>
        </w:tc>
        <w:tc>
          <w:tcPr>
            <w:tcW w:w="600" w:type="dxa"/>
            <w:vAlign w:val="bottom"/>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500" w:type="dxa"/>
            <w:vAlign w:val="bottom"/>
          </w:tcPr>
          <w:p>
            <w:pPr>
              <w:spacing w:after="0"/>
              <w:rPr>
                <w:sz w:val="9"/>
                <w:szCs w:val="9"/>
                <w:color w:val="auto"/>
              </w:rPr>
            </w:pPr>
          </w:p>
        </w:tc>
        <w:tc>
          <w:tcPr>
            <w:tcW w:w="1500" w:type="dxa"/>
            <w:vAlign w:val="bottom"/>
            <w:gridSpan w:val="5"/>
          </w:tcPr>
          <w:p>
            <w:pPr>
              <w:jc w:val="center"/>
              <w:ind w:right="160"/>
              <w:spacing w:after="0" w:line="110" w:lineRule="exact"/>
              <w:rPr>
                <w:sz w:val="20"/>
                <w:szCs w:val="20"/>
                <w:color w:val="auto"/>
              </w:rPr>
            </w:pPr>
            <w:r>
              <w:rPr>
                <w:rFonts w:ascii="Arial" w:cs="Arial" w:eastAsia="Arial" w:hAnsi="Arial"/>
                <w:sz w:val="11"/>
                <w:szCs w:val="11"/>
                <w:b w:val="1"/>
                <w:bCs w:val="1"/>
                <w:color w:val="auto"/>
                <w:w w:val="90"/>
              </w:rPr>
              <w:t>Convertible Preferred</w:t>
            </w:r>
          </w:p>
        </w:tc>
        <w:tc>
          <w:tcPr>
            <w:tcW w:w="1440" w:type="dxa"/>
            <w:vAlign w:val="bottom"/>
            <w:gridSpan w:val="5"/>
          </w:tcPr>
          <w:p>
            <w:pPr>
              <w:jc w:val="center"/>
              <w:ind w:right="60"/>
              <w:spacing w:after="0" w:line="110" w:lineRule="exact"/>
              <w:rPr>
                <w:sz w:val="20"/>
                <w:szCs w:val="20"/>
                <w:color w:val="auto"/>
              </w:rPr>
            </w:pPr>
            <w:r>
              <w:rPr>
                <w:rFonts w:ascii="Arial" w:cs="Arial" w:eastAsia="Arial" w:hAnsi="Arial"/>
                <w:sz w:val="11"/>
                <w:szCs w:val="11"/>
                <w:b w:val="1"/>
                <w:bCs w:val="1"/>
                <w:color w:val="auto"/>
                <w:w w:val="90"/>
              </w:rPr>
              <w:t>Convertible Preferred</w:t>
            </w:r>
          </w:p>
        </w:tc>
        <w:tc>
          <w:tcPr>
            <w:tcW w:w="80" w:type="dxa"/>
            <w:vAlign w:val="bottom"/>
          </w:tcPr>
          <w:p>
            <w:pPr>
              <w:spacing w:after="0"/>
              <w:rPr>
                <w:sz w:val="9"/>
                <w:szCs w:val="9"/>
                <w:color w:val="auto"/>
              </w:rPr>
            </w:pPr>
          </w:p>
        </w:tc>
        <w:tc>
          <w:tcPr>
            <w:tcW w:w="1580" w:type="dxa"/>
            <w:vAlign w:val="bottom"/>
            <w:gridSpan w:val="6"/>
          </w:tcPr>
          <w:p>
            <w:pPr>
              <w:jc w:val="center"/>
              <w:ind w:right="200"/>
              <w:spacing w:after="0" w:line="110" w:lineRule="exact"/>
              <w:rPr>
                <w:sz w:val="20"/>
                <w:szCs w:val="20"/>
                <w:color w:val="auto"/>
              </w:rPr>
            </w:pPr>
            <w:r>
              <w:rPr>
                <w:rFonts w:ascii="Arial" w:cs="Arial" w:eastAsia="Arial" w:hAnsi="Arial"/>
                <w:sz w:val="11"/>
                <w:szCs w:val="11"/>
                <w:b w:val="1"/>
                <w:bCs w:val="1"/>
                <w:color w:val="auto"/>
                <w:w w:val="90"/>
              </w:rPr>
              <w:t>Convertible Preferred</w:t>
            </w:r>
          </w:p>
        </w:tc>
        <w:tc>
          <w:tcPr>
            <w:tcW w:w="1300" w:type="dxa"/>
            <w:vAlign w:val="bottom"/>
            <w:gridSpan w:val="4"/>
            <w:vMerge w:val="restart"/>
          </w:tcPr>
          <w:p>
            <w:pPr>
              <w:jc w:val="right"/>
              <w:ind w:right="246"/>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700" w:type="dxa"/>
            <w:vAlign w:val="bottom"/>
            <w:gridSpan w:val="3"/>
          </w:tcPr>
          <w:p>
            <w:pPr>
              <w:ind w:left="20"/>
              <w:spacing w:after="0" w:line="110" w:lineRule="exact"/>
              <w:rPr>
                <w:sz w:val="20"/>
                <w:szCs w:val="20"/>
                <w:color w:val="auto"/>
              </w:rPr>
            </w:pPr>
            <w:r>
              <w:rPr>
                <w:rFonts w:ascii="Arial" w:cs="Arial" w:eastAsia="Arial" w:hAnsi="Arial"/>
                <w:sz w:val="11"/>
                <w:szCs w:val="11"/>
                <w:b w:val="1"/>
                <w:bCs w:val="1"/>
                <w:color w:val="auto"/>
              </w:rPr>
              <w:t>Comprehen</w:t>
            </w:r>
          </w:p>
        </w:tc>
        <w:tc>
          <w:tcPr>
            <w:tcW w:w="640" w:type="dxa"/>
            <w:vAlign w:val="bottom"/>
            <w:gridSpan w:val="3"/>
          </w:tcPr>
          <w:p>
            <w:pPr>
              <w:ind w:left="20"/>
              <w:spacing w:after="0" w:line="110" w:lineRule="exact"/>
              <w:rPr>
                <w:sz w:val="20"/>
                <w:szCs w:val="20"/>
                <w:color w:val="auto"/>
              </w:rPr>
            </w:pPr>
            <w:r>
              <w:rPr>
                <w:rFonts w:ascii="Arial" w:cs="Arial" w:eastAsia="Arial" w:hAnsi="Arial"/>
                <w:sz w:val="11"/>
                <w:szCs w:val="11"/>
                <w:b w:val="1"/>
                <w:bCs w:val="1"/>
                <w:color w:val="auto"/>
                <w:w w:val="94"/>
              </w:rPr>
              <w:t>Stockholder</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840" w:type="dxa"/>
            <w:vAlign w:val="bottom"/>
            <w:tcBorders>
              <w:bottom w:val="single" w:sz="8" w:color="auto"/>
            </w:tcBorders>
            <w:gridSpan w:val="3"/>
          </w:tcPr>
          <w:p>
            <w:pPr>
              <w:jc w:val="center"/>
              <w:ind w:left="446"/>
              <w:spacing w:after="0"/>
              <w:rPr>
                <w:sz w:val="20"/>
                <w:szCs w:val="20"/>
                <w:color w:val="auto"/>
              </w:rPr>
            </w:pPr>
            <w:r>
              <w:rPr>
                <w:rFonts w:ascii="Arial" w:cs="Arial" w:eastAsia="Arial" w:hAnsi="Arial"/>
                <w:sz w:val="11"/>
                <w:szCs w:val="11"/>
                <w:b w:val="1"/>
                <w:bCs w:val="1"/>
                <w:color w:val="auto"/>
                <w:w w:val="86"/>
              </w:rPr>
              <w:t>Stock</w:t>
            </w:r>
          </w:p>
        </w:tc>
        <w:tc>
          <w:tcPr>
            <w:tcW w:w="5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bottom w:val="single" w:sz="8" w:color="auto"/>
            </w:tcBorders>
            <w:gridSpan w:val="3"/>
          </w:tcPr>
          <w:p>
            <w:pPr>
              <w:jc w:val="center"/>
              <w:ind w:left="466"/>
              <w:spacing w:after="0"/>
              <w:rPr>
                <w:sz w:val="20"/>
                <w:szCs w:val="20"/>
                <w:color w:val="auto"/>
              </w:rPr>
            </w:pPr>
            <w:r>
              <w:rPr>
                <w:rFonts w:ascii="Arial" w:cs="Arial" w:eastAsia="Arial" w:hAnsi="Arial"/>
                <w:sz w:val="11"/>
                <w:szCs w:val="11"/>
                <w:b w:val="1"/>
                <w:bCs w:val="1"/>
                <w:color w:val="auto"/>
                <w:w w:val="86"/>
              </w:rPr>
              <w:t>Stock</w:t>
            </w: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center"/>
              <w:ind w:left="446"/>
              <w:spacing w:after="0"/>
              <w:rPr>
                <w:sz w:val="20"/>
                <w:szCs w:val="20"/>
                <w:color w:val="auto"/>
              </w:rPr>
            </w:pPr>
            <w:r>
              <w:rPr>
                <w:rFonts w:ascii="Arial" w:cs="Arial" w:eastAsia="Arial" w:hAnsi="Arial"/>
                <w:sz w:val="11"/>
                <w:szCs w:val="11"/>
                <w:b w:val="1"/>
                <w:bCs w:val="1"/>
                <w:color w:val="auto"/>
                <w:w w:val="86"/>
              </w:rPr>
              <w:t>Stock</w:t>
            </w:r>
          </w:p>
        </w:tc>
        <w:tc>
          <w:tcPr>
            <w:tcW w:w="5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tcBorders>
              <w:bottom w:val="single" w:sz="8" w:color="auto"/>
            </w:tcBorders>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2"/>
              </w:rPr>
              <w:t>Paid-in</w:t>
            </w:r>
          </w:p>
        </w:tc>
        <w:tc>
          <w:tcPr>
            <w:tcW w:w="100" w:type="dxa"/>
            <w:vAlign w:val="bottom"/>
          </w:tcPr>
          <w:p>
            <w:pPr>
              <w:spacing w:after="0"/>
              <w:rPr>
                <w:sz w:val="11"/>
                <w:szCs w:val="11"/>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d</w:t>
            </w:r>
          </w:p>
        </w:tc>
        <w:tc>
          <w:tcPr>
            <w:tcW w:w="100" w:type="dxa"/>
            <w:vAlign w:val="bottom"/>
          </w:tcPr>
          <w:p>
            <w:pPr>
              <w:spacing w:after="0"/>
              <w:rPr>
                <w:sz w:val="11"/>
                <w:szCs w:val="11"/>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3"/>
              </w:rPr>
              <w:t>sive</w:t>
            </w:r>
          </w:p>
        </w:tc>
        <w:tc>
          <w:tcPr>
            <w:tcW w:w="100" w:type="dxa"/>
            <w:vAlign w:val="bottom"/>
          </w:tcPr>
          <w:p>
            <w:pPr>
              <w:spacing w:after="0"/>
              <w:rPr>
                <w:sz w:val="11"/>
                <w:szCs w:val="11"/>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s’</w:t>
            </w:r>
          </w:p>
        </w:tc>
        <w:tc>
          <w:tcPr>
            <w:tcW w:w="0" w:type="dxa"/>
            <w:vAlign w:val="bottom"/>
          </w:tcPr>
          <w:p>
            <w:pPr>
              <w:spacing w:after="0"/>
              <w:rPr>
                <w:sz w:val="1"/>
                <w:szCs w:val="1"/>
                <w:color w:val="auto"/>
              </w:rPr>
            </w:pPr>
          </w:p>
        </w:tc>
      </w:tr>
      <w:tr>
        <w:trPr>
          <w:trHeight w:val="88"/>
        </w:trPr>
        <w:tc>
          <w:tcPr>
            <w:tcW w:w="2500" w:type="dxa"/>
            <w:vAlign w:val="bottom"/>
          </w:tcPr>
          <w:p>
            <w:pPr>
              <w:spacing w:after="0"/>
              <w:rPr>
                <w:sz w:val="7"/>
                <w:szCs w:val="7"/>
                <w:color w:val="auto"/>
              </w:rPr>
            </w:pPr>
          </w:p>
        </w:tc>
        <w:tc>
          <w:tcPr>
            <w:tcW w:w="60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4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91"/>
              </w:rPr>
              <w:t>Amount</w:t>
            </w:r>
          </w:p>
        </w:tc>
        <w:tc>
          <w:tcPr>
            <w:tcW w:w="140" w:type="dxa"/>
            <w:vAlign w:val="bottom"/>
            <w:vMerge w:val="restart"/>
          </w:tcPr>
          <w:p>
            <w:pPr>
              <w:spacing w:after="0"/>
              <w:rPr>
                <w:sz w:val="7"/>
                <w:szCs w:val="7"/>
                <w:color w:val="auto"/>
              </w:rPr>
            </w:pPr>
          </w:p>
        </w:tc>
        <w:tc>
          <w:tcPr>
            <w:tcW w:w="62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16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91"/>
              </w:rPr>
              <w:t>Amount</w:t>
            </w:r>
          </w:p>
        </w:tc>
        <w:tc>
          <w:tcPr>
            <w:tcW w:w="6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14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w w:val="91"/>
              </w:rPr>
              <w:t>Amount</w:t>
            </w:r>
          </w:p>
        </w:tc>
        <w:tc>
          <w:tcPr>
            <w:tcW w:w="140" w:type="dxa"/>
            <w:vAlign w:val="bottom"/>
            <w:tcBorders>
              <w:right w:val="single" w:sz="8" w:color="auto"/>
            </w:tcBorders>
            <w:vMerge w:val="restart"/>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w w:val="95"/>
              </w:rPr>
              <w:t>Deficit</w:t>
            </w:r>
          </w:p>
        </w:tc>
        <w:tc>
          <w:tcPr>
            <w:tcW w:w="12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gridSpan w:val="2"/>
          </w:tcPr>
          <w:p>
            <w:pPr>
              <w:jc w:val="center"/>
              <w:ind w:right="240"/>
              <w:spacing w:after="0" w:line="88" w:lineRule="exact"/>
              <w:rPr>
                <w:sz w:val="20"/>
                <w:szCs w:val="20"/>
                <w:color w:val="auto"/>
              </w:rPr>
            </w:pPr>
            <w:r>
              <w:rPr>
                <w:rFonts w:ascii="Arial" w:cs="Arial" w:eastAsia="Arial" w:hAnsi="Arial"/>
                <w:sz w:val="10"/>
                <w:szCs w:val="10"/>
                <w:b w:val="1"/>
                <w:bCs w:val="1"/>
                <w:color w:val="auto"/>
              </w:rPr>
              <w:t>Income</w:t>
            </w:r>
          </w:p>
        </w:tc>
        <w:tc>
          <w:tcPr>
            <w:tcW w:w="100" w:type="dxa"/>
            <w:vAlign w:val="bottom"/>
          </w:tcPr>
          <w:p>
            <w:pPr>
              <w:spacing w:after="0"/>
              <w:rPr>
                <w:sz w:val="7"/>
                <w:szCs w:val="7"/>
                <w:color w:val="auto"/>
              </w:rPr>
            </w:pPr>
          </w:p>
        </w:tc>
        <w:tc>
          <w:tcPr>
            <w:tcW w:w="540" w:type="dxa"/>
            <w:vAlign w:val="bottom"/>
            <w:gridSpan w:val="2"/>
          </w:tcPr>
          <w:p>
            <w:pPr>
              <w:jc w:val="center"/>
              <w:ind w:right="160"/>
              <w:spacing w:after="0" w:line="88" w:lineRule="exact"/>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14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84"/>
              </w:rPr>
              <w:t>(Loss)</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2"/>
              </w:rPr>
              <w:t>(Deficit)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2500" w:type="dxa"/>
            <w:vAlign w:val="bottom"/>
          </w:tcPr>
          <w:p>
            <w:pPr>
              <w:ind w:left="20"/>
              <w:spacing w:after="0"/>
              <w:rPr>
                <w:sz w:val="20"/>
                <w:szCs w:val="20"/>
                <w:color w:val="auto"/>
              </w:rPr>
            </w:pPr>
            <w:r>
              <w:rPr>
                <w:rFonts w:ascii="Arial" w:cs="Arial" w:eastAsia="Arial" w:hAnsi="Arial"/>
                <w:sz w:val="11"/>
                <w:szCs w:val="11"/>
                <w:color w:val="auto"/>
              </w:rPr>
              <w:t>Balance as of December 31, 2019</w:t>
            </w:r>
          </w:p>
        </w:tc>
        <w:tc>
          <w:tcPr>
            <w:tcW w:w="600" w:type="dxa"/>
            <w:vAlign w:val="bottom"/>
          </w:tcPr>
          <w:p>
            <w:pPr>
              <w:jc w:val="right"/>
              <w:spacing w:after="0"/>
              <w:rPr>
                <w:sz w:val="20"/>
                <w:szCs w:val="20"/>
                <w:color w:val="auto"/>
              </w:rPr>
            </w:pPr>
            <w:r>
              <w:rPr>
                <w:rFonts w:ascii="Arial" w:cs="Arial" w:eastAsia="Arial" w:hAnsi="Arial"/>
                <w:sz w:val="11"/>
                <w:szCs w:val="11"/>
                <w:color w:val="auto"/>
              </w:rPr>
              <w:t>10,819,843</w:t>
            </w:r>
          </w:p>
        </w:tc>
        <w:tc>
          <w:tcPr>
            <w:tcW w:w="1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100,695</w:t>
            </w: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8,344,034</w:t>
            </w:r>
          </w:p>
        </w:tc>
        <w:tc>
          <w:tcPr>
            <w:tcW w:w="16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81,384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3,927,803</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0</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1,421</w:t>
            </w:r>
          </w:p>
        </w:tc>
        <w:tc>
          <w:tcPr>
            <w:tcW w:w="1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(66,197 )</w:t>
            </w: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(115 )</w:t>
            </w: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(64,891 )</w:t>
            </w:r>
          </w:p>
        </w:tc>
        <w:tc>
          <w:tcPr>
            <w:tcW w:w="0" w:type="dxa"/>
            <w:vAlign w:val="bottom"/>
          </w:tcPr>
          <w:p>
            <w:pPr>
              <w:spacing w:after="0"/>
              <w:rPr>
                <w:sz w:val="1"/>
                <w:szCs w:val="1"/>
                <w:color w:val="auto"/>
              </w:rPr>
            </w:pPr>
          </w:p>
        </w:tc>
      </w:tr>
      <w:tr>
        <w:trPr>
          <w:trHeight w:val="108"/>
        </w:trPr>
        <w:tc>
          <w:tcPr>
            <w:tcW w:w="2500" w:type="dxa"/>
            <w:vAlign w:val="bottom"/>
          </w:tcPr>
          <w:p>
            <w:pPr>
              <w:ind w:left="20"/>
              <w:spacing w:after="0" w:line="108" w:lineRule="exact"/>
              <w:rPr>
                <w:sz w:val="20"/>
                <w:szCs w:val="20"/>
                <w:color w:val="auto"/>
              </w:rPr>
            </w:pPr>
            <w:r>
              <w:rPr>
                <w:rFonts w:ascii="Arial" w:cs="Arial" w:eastAsia="Arial" w:hAnsi="Arial"/>
                <w:sz w:val="11"/>
                <w:szCs w:val="11"/>
                <w:color w:val="auto"/>
              </w:rPr>
              <w:t>Issuance of common stock upon exercise of</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188,594</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261</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261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80"/>
              <w:spacing w:after="0"/>
              <w:rPr>
                <w:sz w:val="20"/>
                <w:szCs w:val="20"/>
                <w:color w:val="auto"/>
              </w:rPr>
            </w:pPr>
            <w:r>
              <w:rPr>
                <w:rFonts w:ascii="Arial" w:cs="Arial" w:eastAsia="Arial" w:hAnsi="Arial"/>
                <w:sz w:val="11"/>
                <w:szCs w:val="11"/>
                <w:color w:val="auto"/>
              </w:rPr>
              <w:t>stock options</w:t>
            </w: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500" w:type="dxa"/>
            <w:vAlign w:val="bottom"/>
            <w:shd w:val="clear" w:color="auto" w:fill="CFF0FC"/>
          </w:tcPr>
          <w:p>
            <w:pPr>
              <w:ind w:left="20"/>
              <w:spacing w:after="0"/>
              <w:rPr>
                <w:sz w:val="20"/>
                <w:szCs w:val="20"/>
                <w:color w:val="auto"/>
              </w:rPr>
            </w:pPr>
            <w:r>
              <w:rPr>
                <w:rFonts w:ascii="Arial" w:cs="Arial" w:eastAsia="Arial" w:hAnsi="Arial"/>
                <w:sz w:val="11"/>
                <w:szCs w:val="11"/>
                <w:color w:val="auto"/>
              </w:rPr>
              <w:t>Vesting of early exercised common stock</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363</w:t>
            </w: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500" w:type="dxa"/>
            <w:vAlign w:val="bottom"/>
          </w:tcPr>
          <w:p>
            <w:pPr>
              <w:ind w:left="20"/>
              <w:spacing w:after="0" w:line="99" w:lineRule="exact"/>
              <w:rPr>
                <w:sz w:val="20"/>
                <w:szCs w:val="20"/>
                <w:color w:val="auto"/>
              </w:rPr>
            </w:pPr>
            <w:r>
              <w:rPr>
                <w:rFonts w:ascii="Arial" w:cs="Arial" w:eastAsia="Arial" w:hAnsi="Arial"/>
                <w:sz w:val="11"/>
                <w:szCs w:val="11"/>
                <w:color w:val="auto"/>
                <w:w w:val="99"/>
              </w:rPr>
              <w:t>Issuance of Series A redeemable convertible stock</w:t>
            </w: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120,702</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1,262</w:t>
            </w:r>
          </w:p>
        </w:tc>
        <w:tc>
          <w:tcPr>
            <w:tcW w:w="140" w:type="dxa"/>
            <w:vAlign w:val="bottom"/>
          </w:tcPr>
          <w:p>
            <w:pPr>
              <w:spacing w:after="0"/>
              <w:rPr>
                <w:sz w:val="8"/>
                <w:szCs w:val="8"/>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500" w:type="dxa"/>
            <w:vAlign w:val="bottom"/>
          </w:tcPr>
          <w:p>
            <w:pPr>
              <w:ind w:left="180"/>
              <w:spacing w:after="0"/>
              <w:rPr>
                <w:sz w:val="20"/>
                <w:szCs w:val="20"/>
                <w:color w:val="auto"/>
              </w:rPr>
            </w:pPr>
            <w:r>
              <w:rPr>
                <w:rFonts w:ascii="Arial" w:cs="Arial" w:eastAsia="Arial" w:hAnsi="Arial"/>
                <w:sz w:val="11"/>
                <w:szCs w:val="11"/>
                <w:color w:val="auto"/>
              </w:rPr>
              <w:t>upon exercise of Series A warrants</w:t>
            </w: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50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rPr>
              <w:t>Issuance of redeemable convertible Series</w:t>
            </w:r>
          </w:p>
        </w:tc>
        <w:tc>
          <w:tcPr>
            <w:tcW w:w="7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6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8"/>
                <w:szCs w:val="8"/>
                <w:color w:val="auto"/>
              </w:rPr>
            </w:pPr>
          </w:p>
        </w:tc>
        <w:tc>
          <w:tcPr>
            <w:tcW w:w="5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3,569,630</w:t>
            </w:r>
          </w:p>
        </w:tc>
        <w:tc>
          <w:tcPr>
            <w:tcW w:w="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40,000</w:t>
            </w:r>
          </w:p>
        </w:tc>
        <w:tc>
          <w:tcPr>
            <w:tcW w:w="140" w:type="dxa"/>
            <w:vAlign w:val="bottom"/>
            <w:tcBorders>
              <w:right w:val="single" w:sz="8" w:color="auto"/>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6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6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5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2500" w:type="dxa"/>
            <w:vAlign w:val="bottom"/>
            <w:shd w:val="clear" w:color="auto" w:fill="CFF0FC"/>
          </w:tcPr>
          <w:p>
            <w:pPr>
              <w:ind w:left="180"/>
              <w:spacing w:after="0"/>
              <w:rPr>
                <w:sz w:val="20"/>
                <w:szCs w:val="20"/>
                <w:color w:val="auto"/>
              </w:rPr>
            </w:pPr>
            <w:r>
              <w:rPr>
                <w:rFonts w:ascii="Arial" w:cs="Arial" w:eastAsia="Arial" w:hAnsi="Arial"/>
                <w:sz w:val="11"/>
                <w:szCs w:val="11"/>
                <w:color w:val="auto"/>
              </w:rPr>
              <w:t>B-2 preferred stock</w:t>
            </w:r>
          </w:p>
        </w:tc>
        <w:tc>
          <w:tcPr>
            <w:tcW w:w="74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78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gridSpan w:val="2"/>
            <w:vMerge w:val="continue"/>
            <w:shd w:val="clear" w:color="auto" w:fill="CFF0FC"/>
          </w:tcPr>
          <w:p>
            <w:pPr>
              <w:spacing w:after="0"/>
              <w:rPr>
                <w:sz w:val="12"/>
                <w:szCs w:val="12"/>
                <w:color w:val="auto"/>
              </w:rPr>
            </w:pPr>
          </w:p>
        </w:tc>
        <w:tc>
          <w:tcPr>
            <w:tcW w:w="72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vMerge w:val="continue"/>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500" w:type="dxa"/>
            <w:vAlign w:val="bottom"/>
          </w:tcPr>
          <w:p>
            <w:pPr>
              <w:ind w:left="20"/>
              <w:spacing w:after="0" w:line="99" w:lineRule="exact"/>
              <w:rPr>
                <w:sz w:val="20"/>
                <w:szCs w:val="20"/>
                <w:color w:val="auto"/>
              </w:rPr>
            </w:pPr>
            <w:r>
              <w:rPr>
                <w:rFonts w:ascii="Arial" w:cs="Arial" w:eastAsia="Arial" w:hAnsi="Arial"/>
                <w:sz w:val="11"/>
                <w:szCs w:val="11"/>
                <w:color w:val="auto"/>
              </w:rPr>
              <w:t>Reclassification of Series A warrant and</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620</w:t>
            </w:r>
          </w:p>
        </w:tc>
        <w:tc>
          <w:tcPr>
            <w:tcW w:w="140" w:type="dxa"/>
            <w:vAlign w:val="bottom"/>
          </w:tcPr>
          <w:p>
            <w:pPr>
              <w:spacing w:after="0"/>
              <w:rPr>
                <w:sz w:val="8"/>
                <w:szCs w:val="8"/>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14,560</w:t>
            </w:r>
          </w:p>
        </w:tc>
        <w:tc>
          <w:tcPr>
            <w:tcW w:w="1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500" w:type="dxa"/>
            <w:vAlign w:val="bottom"/>
          </w:tcPr>
          <w:p>
            <w:pPr>
              <w:ind w:left="180"/>
              <w:spacing w:after="0"/>
              <w:rPr>
                <w:sz w:val="20"/>
                <w:szCs w:val="20"/>
                <w:color w:val="auto"/>
              </w:rPr>
            </w:pPr>
            <w:r>
              <w:rPr>
                <w:rFonts w:ascii="Arial" w:cs="Arial" w:eastAsia="Arial" w:hAnsi="Arial"/>
                <w:sz w:val="11"/>
                <w:szCs w:val="11"/>
                <w:color w:val="auto"/>
              </w:rPr>
              <w:t>convertible preferred stock liabilities to equity</w:t>
            </w: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50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rPr>
              <w:t>Conversion of redeemable convertible</w:t>
            </w:r>
          </w:p>
        </w:tc>
        <w:tc>
          <w:tcPr>
            <w:tcW w:w="6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40" w:type="dxa"/>
            <w:vAlign w:val="bottom"/>
            <w:tcBorders>
              <w:right w:val="single" w:sz="8" w:color="auto"/>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180"/>
              <w:spacing w:after="0" w:line="108" w:lineRule="exact"/>
              <w:rPr>
                <w:sz w:val="20"/>
                <w:szCs w:val="20"/>
                <w:color w:val="auto"/>
              </w:rPr>
            </w:pPr>
            <w:r>
              <w:rPr>
                <w:rFonts w:ascii="Arial" w:cs="Arial" w:eastAsia="Arial" w:hAnsi="Arial"/>
                <w:sz w:val="11"/>
                <w:szCs w:val="11"/>
                <w:color w:val="auto"/>
              </w:rPr>
              <w:t>preferred stock to common stock in connection</w:t>
            </w:r>
          </w:p>
        </w:tc>
        <w:tc>
          <w:tcPr>
            <w:tcW w:w="7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1"/>
                <w:szCs w:val="11"/>
                <w:color w:val="auto"/>
                <w:w w:val="94"/>
              </w:rPr>
              <w:t>(10,940,545 )</w:t>
            </w:r>
          </w:p>
        </w:tc>
        <w:tc>
          <w:tcPr>
            <w:tcW w:w="100" w:type="dxa"/>
            <w:vAlign w:val="bottom"/>
            <w:shd w:val="clear" w:color="auto" w:fill="CFF0FC"/>
          </w:tcPr>
          <w:p>
            <w:pPr>
              <w:spacing w:after="0"/>
              <w:rPr>
                <w:sz w:val="9"/>
                <w:szCs w:val="9"/>
                <w:color w:val="auto"/>
              </w:rPr>
            </w:pPr>
          </w:p>
        </w:tc>
        <w:tc>
          <w:tcPr>
            <w:tcW w:w="6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1"/>
                <w:szCs w:val="11"/>
                <w:color w:val="auto"/>
              </w:rPr>
              <w:t>(102,577 )</w:t>
            </w:r>
          </w:p>
        </w:tc>
        <w:tc>
          <w:tcPr>
            <w:tcW w:w="7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1"/>
                <w:szCs w:val="11"/>
                <w:color w:val="auto"/>
              </w:rPr>
              <w:t>(8,344,034 )</w:t>
            </w:r>
          </w:p>
        </w:tc>
        <w:tc>
          <w:tcPr>
            <w:tcW w:w="80" w:type="dxa"/>
            <w:vAlign w:val="bottom"/>
            <w:shd w:val="clear" w:color="auto" w:fill="CFF0FC"/>
          </w:tcPr>
          <w:p>
            <w:pPr>
              <w:spacing w:after="0"/>
              <w:rPr>
                <w:sz w:val="9"/>
                <w:szCs w:val="9"/>
                <w:color w:val="auto"/>
              </w:rPr>
            </w:pPr>
          </w:p>
        </w:tc>
        <w:tc>
          <w:tcPr>
            <w:tcW w:w="58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(81,384 )</w:t>
            </w:r>
          </w:p>
        </w:tc>
        <w:tc>
          <w:tcPr>
            <w:tcW w:w="860" w:type="dxa"/>
            <w:vAlign w:val="bottom"/>
            <w:gridSpan w:val="3"/>
            <w:vMerge w:val="restart"/>
            <w:shd w:val="clear" w:color="auto" w:fill="CFF0FC"/>
          </w:tcPr>
          <w:p>
            <w:pPr>
              <w:jc w:val="right"/>
              <w:ind w:right="100"/>
              <w:spacing w:after="0"/>
              <w:rPr>
                <w:sz w:val="20"/>
                <w:szCs w:val="20"/>
                <w:color w:val="auto"/>
              </w:rPr>
            </w:pPr>
            <w:r>
              <w:rPr>
                <w:rFonts w:ascii="Arial" w:cs="Arial" w:eastAsia="Arial" w:hAnsi="Arial"/>
                <w:sz w:val="11"/>
                <w:szCs w:val="11"/>
                <w:color w:val="auto"/>
              </w:rPr>
              <w:t>(3,569,630 )</w:t>
            </w:r>
          </w:p>
        </w:tc>
        <w:tc>
          <w:tcPr>
            <w:tcW w:w="100" w:type="dxa"/>
            <w:vAlign w:val="bottom"/>
            <w:shd w:val="clear" w:color="auto" w:fill="CFF0FC"/>
          </w:tcPr>
          <w:p>
            <w:pPr>
              <w:spacing w:after="0"/>
              <w:rPr>
                <w:sz w:val="9"/>
                <w:szCs w:val="9"/>
                <w:color w:val="auto"/>
              </w:rPr>
            </w:pPr>
          </w:p>
        </w:tc>
        <w:tc>
          <w:tcPr>
            <w:tcW w:w="640" w:type="dxa"/>
            <w:vAlign w:val="bottom"/>
            <w:tcBorders>
              <w:right w:val="single" w:sz="8" w:color="auto"/>
            </w:tcBorders>
            <w:gridSpan w:val="2"/>
            <w:vMerge w:val="restart"/>
            <w:shd w:val="clear" w:color="auto" w:fill="CFF0FC"/>
          </w:tcPr>
          <w:p>
            <w:pPr>
              <w:jc w:val="right"/>
              <w:ind w:right="80"/>
              <w:spacing w:after="0"/>
              <w:rPr>
                <w:sz w:val="20"/>
                <w:szCs w:val="20"/>
                <w:color w:val="auto"/>
              </w:rPr>
            </w:pPr>
            <w:r>
              <w:rPr>
                <w:rFonts w:ascii="Arial" w:cs="Arial" w:eastAsia="Arial" w:hAnsi="Arial"/>
                <w:sz w:val="11"/>
                <w:szCs w:val="11"/>
                <w:color w:val="auto"/>
              </w:rPr>
              <w:t>(54,560 )</w:t>
            </w:r>
          </w:p>
        </w:tc>
        <w:tc>
          <w:tcPr>
            <w:tcW w:w="6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22,854,209</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238,520</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9"/>
                <w:szCs w:val="9"/>
                <w:color w:val="auto"/>
              </w:rPr>
            </w:pPr>
          </w:p>
        </w:tc>
        <w:tc>
          <w:tcPr>
            <w:tcW w:w="6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9"/>
                <w:szCs w:val="9"/>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238,523</w:t>
            </w:r>
          </w:p>
        </w:tc>
        <w:tc>
          <w:tcPr>
            <w:tcW w:w="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500" w:type="dxa"/>
            <w:vAlign w:val="bottom"/>
            <w:shd w:val="clear" w:color="auto" w:fill="CFF0FC"/>
          </w:tcPr>
          <w:p>
            <w:pPr>
              <w:ind w:left="180"/>
              <w:spacing w:after="0"/>
              <w:rPr>
                <w:sz w:val="20"/>
                <w:szCs w:val="20"/>
                <w:color w:val="auto"/>
              </w:rPr>
            </w:pPr>
            <w:r>
              <w:rPr>
                <w:rFonts w:ascii="Arial" w:cs="Arial" w:eastAsia="Arial" w:hAnsi="Arial"/>
                <w:sz w:val="11"/>
                <w:szCs w:val="11"/>
                <w:color w:val="auto"/>
              </w:rPr>
              <w:t>with initial public offering</w:t>
            </w:r>
          </w:p>
        </w:tc>
        <w:tc>
          <w:tcPr>
            <w:tcW w:w="74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78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gridSpan w:val="2"/>
            <w:vMerge w:val="continue"/>
            <w:shd w:val="clear" w:color="auto" w:fill="CFF0FC"/>
          </w:tcPr>
          <w:p>
            <w:pPr>
              <w:spacing w:after="0"/>
              <w:rPr>
                <w:sz w:val="12"/>
                <w:szCs w:val="12"/>
                <w:color w:val="auto"/>
              </w:rPr>
            </w:pPr>
          </w:p>
        </w:tc>
        <w:tc>
          <w:tcPr>
            <w:tcW w:w="860" w:type="dxa"/>
            <w:vAlign w:val="bottom"/>
            <w:gridSpan w:val="3"/>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auto"/>
            </w:tcBorders>
            <w:gridSpan w:val="2"/>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500" w:type="dxa"/>
            <w:vAlign w:val="bottom"/>
          </w:tcPr>
          <w:p>
            <w:pPr>
              <w:ind w:left="20"/>
              <w:spacing w:after="0" w:line="99" w:lineRule="exact"/>
              <w:rPr>
                <w:sz w:val="20"/>
                <w:szCs w:val="20"/>
                <w:color w:val="auto"/>
              </w:rPr>
            </w:pPr>
            <w:r>
              <w:rPr>
                <w:rFonts w:ascii="Arial" w:cs="Arial" w:eastAsia="Arial" w:hAnsi="Arial"/>
                <w:sz w:val="11"/>
                <w:szCs w:val="11"/>
                <w:color w:val="auto"/>
              </w:rPr>
              <w:t>Issuance of common stock in connection with</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10,000,000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139,499</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139,500</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80"/>
              <w:spacing w:after="0"/>
              <w:rPr>
                <w:sz w:val="20"/>
                <w:szCs w:val="20"/>
                <w:color w:val="auto"/>
              </w:rPr>
            </w:pPr>
            <w:r>
              <w:rPr>
                <w:rFonts w:ascii="Arial" w:cs="Arial" w:eastAsia="Arial" w:hAnsi="Arial"/>
                <w:sz w:val="11"/>
                <w:szCs w:val="11"/>
                <w:color w:val="auto"/>
              </w:rPr>
              <w:t>initial public offering, net of offering costs</w:t>
            </w: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50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rPr>
              <w:t>Issuance of common stock in connection with</w:t>
            </w:r>
          </w:p>
        </w:tc>
        <w:tc>
          <w:tcPr>
            <w:tcW w:w="6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40" w:type="dxa"/>
            <w:vAlign w:val="bottom"/>
            <w:tcBorders>
              <w:right w:val="single" w:sz="8" w:color="auto"/>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180"/>
              <w:spacing w:after="0" w:line="108" w:lineRule="exact"/>
              <w:rPr>
                <w:sz w:val="20"/>
                <w:szCs w:val="20"/>
                <w:color w:val="auto"/>
              </w:rPr>
            </w:pPr>
            <w:r>
              <w:rPr>
                <w:rFonts w:ascii="Arial" w:cs="Arial" w:eastAsia="Arial" w:hAnsi="Arial"/>
                <w:sz w:val="11"/>
                <w:szCs w:val="11"/>
                <w:color w:val="auto"/>
              </w:rPr>
              <w:t>Greenshoe initial public offering, net</w:t>
            </w:r>
          </w:p>
        </w:tc>
        <w:tc>
          <w:tcPr>
            <w:tcW w:w="7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9"/>
                <w:szCs w:val="9"/>
                <w:color w:val="auto"/>
              </w:rPr>
            </w:pPr>
          </w:p>
        </w:tc>
        <w:tc>
          <w:tcPr>
            <w:tcW w:w="6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9"/>
                <w:szCs w:val="9"/>
                <w:color w:val="auto"/>
              </w:rPr>
            </w:pPr>
          </w:p>
        </w:tc>
        <w:tc>
          <w:tcPr>
            <w:tcW w:w="5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9"/>
                <w:szCs w:val="9"/>
                <w:color w:val="auto"/>
              </w:rPr>
            </w:pPr>
          </w:p>
        </w:tc>
        <w:tc>
          <w:tcPr>
            <w:tcW w:w="7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9"/>
                <w:szCs w:val="9"/>
                <w:color w:val="auto"/>
              </w:rPr>
            </w:pPr>
          </w:p>
        </w:tc>
        <w:tc>
          <w:tcPr>
            <w:tcW w:w="640" w:type="dxa"/>
            <w:vAlign w:val="bottom"/>
            <w:tcBorders>
              <w:right w:val="single" w:sz="8" w:color="auto"/>
            </w:tcBorders>
            <w:gridSpan w:val="2"/>
            <w:vMerge w:val="restart"/>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1,150,000</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16,042</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9"/>
                <w:szCs w:val="9"/>
                <w:color w:val="auto"/>
              </w:rPr>
            </w:pPr>
          </w:p>
        </w:tc>
        <w:tc>
          <w:tcPr>
            <w:tcW w:w="6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9"/>
                <w:szCs w:val="9"/>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16,043</w:t>
            </w:r>
          </w:p>
        </w:tc>
        <w:tc>
          <w:tcPr>
            <w:tcW w:w="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500" w:type="dxa"/>
            <w:vAlign w:val="bottom"/>
            <w:shd w:val="clear" w:color="auto" w:fill="CFF0FC"/>
          </w:tcPr>
          <w:p>
            <w:pPr>
              <w:ind w:left="180"/>
              <w:spacing w:after="0"/>
              <w:rPr>
                <w:sz w:val="20"/>
                <w:szCs w:val="20"/>
                <w:color w:val="auto"/>
              </w:rPr>
            </w:pPr>
            <w:r>
              <w:rPr>
                <w:rFonts w:ascii="Arial" w:cs="Arial" w:eastAsia="Arial" w:hAnsi="Arial"/>
                <w:sz w:val="11"/>
                <w:szCs w:val="11"/>
                <w:color w:val="auto"/>
              </w:rPr>
              <w:t>of offering costs</w:t>
            </w:r>
          </w:p>
        </w:tc>
        <w:tc>
          <w:tcPr>
            <w:tcW w:w="74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78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auto"/>
            </w:tcBorders>
            <w:gridSpan w:val="2"/>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20"/>
              <w:spacing w:after="0"/>
              <w:rPr>
                <w:sz w:val="20"/>
                <w:szCs w:val="20"/>
                <w:color w:val="auto"/>
              </w:rPr>
            </w:pPr>
            <w:r>
              <w:rPr>
                <w:rFonts w:ascii="Arial" w:cs="Arial" w:eastAsia="Arial" w:hAnsi="Arial"/>
                <w:sz w:val="11"/>
                <w:szCs w:val="11"/>
                <w:color w:val="auto"/>
              </w:rPr>
              <w:t>Costs related to the IPO and Greenshoe</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(4,116 )</w:t>
            </w:r>
          </w:p>
        </w:tc>
        <w:tc>
          <w:tcPr>
            <w:tcW w:w="10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(4,116 )</w:t>
            </w:r>
          </w:p>
        </w:tc>
        <w:tc>
          <w:tcPr>
            <w:tcW w:w="0" w:type="dxa"/>
            <w:vAlign w:val="bottom"/>
          </w:tcPr>
          <w:p>
            <w:pPr>
              <w:spacing w:after="0"/>
              <w:rPr>
                <w:sz w:val="1"/>
                <w:szCs w:val="1"/>
                <w:color w:val="auto"/>
              </w:rPr>
            </w:pPr>
          </w:p>
        </w:tc>
      </w:tr>
      <w:tr>
        <w:trPr>
          <w:trHeight w:val="135"/>
        </w:trPr>
        <w:tc>
          <w:tcPr>
            <w:tcW w:w="2500" w:type="dxa"/>
            <w:vAlign w:val="bottom"/>
            <w:shd w:val="clear" w:color="auto" w:fill="CFF0FC"/>
          </w:tcPr>
          <w:p>
            <w:pPr>
              <w:ind w:left="20"/>
              <w:spacing w:after="0"/>
              <w:rPr>
                <w:sz w:val="20"/>
                <w:szCs w:val="20"/>
                <w:color w:val="auto"/>
              </w:rPr>
            </w:pPr>
            <w:r>
              <w:rPr>
                <w:rFonts w:ascii="Arial" w:cs="Arial" w:eastAsia="Arial" w:hAnsi="Arial"/>
                <w:sz w:val="11"/>
                <w:szCs w:val="11"/>
                <w:color w:val="auto"/>
              </w:rPr>
              <w:t>Stock-based compensation</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2,975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2,975</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500" w:type="dxa"/>
            <w:vAlign w:val="bottom"/>
          </w:tcPr>
          <w:p>
            <w:pPr>
              <w:ind w:left="20"/>
              <w:spacing w:after="0" w:line="125" w:lineRule="exact"/>
              <w:rPr>
                <w:sz w:val="20"/>
                <w:szCs w:val="20"/>
                <w:color w:val="auto"/>
              </w:rPr>
            </w:pPr>
            <w:r>
              <w:rPr>
                <w:rFonts w:ascii="Arial" w:cs="Arial" w:eastAsia="Arial" w:hAnsi="Arial"/>
                <w:sz w:val="11"/>
                <w:szCs w:val="11"/>
                <w:color w:val="auto"/>
              </w:rPr>
              <w:t>Other comprehensive loss</w:t>
            </w:r>
          </w:p>
        </w:tc>
        <w:tc>
          <w:tcPr>
            <w:tcW w:w="74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8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40" w:type="dxa"/>
            <w:vAlign w:val="bottom"/>
            <w:tcBorders>
              <w:right w:val="single" w:sz="8" w:color="auto"/>
            </w:tcBorders>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(73 )</w:t>
            </w:r>
          </w:p>
        </w:tc>
        <w:tc>
          <w:tcPr>
            <w:tcW w:w="100" w:type="dxa"/>
            <w:vAlign w:val="bottom"/>
          </w:tcPr>
          <w:p>
            <w:pPr>
              <w:spacing w:after="0"/>
              <w:rPr>
                <w:sz w:val="10"/>
                <w:szCs w:val="10"/>
                <w:color w:val="auto"/>
              </w:rPr>
            </w:pPr>
          </w:p>
        </w:tc>
        <w:tc>
          <w:tcPr>
            <w:tcW w:w="54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(73 )</w:t>
            </w:r>
          </w:p>
        </w:tc>
        <w:tc>
          <w:tcPr>
            <w:tcW w:w="0" w:type="dxa"/>
            <w:vAlign w:val="bottom"/>
          </w:tcPr>
          <w:p>
            <w:pPr>
              <w:spacing w:after="0"/>
              <w:rPr>
                <w:sz w:val="1"/>
                <w:szCs w:val="1"/>
                <w:color w:val="auto"/>
              </w:rPr>
            </w:pPr>
          </w:p>
        </w:tc>
      </w:tr>
      <w:tr>
        <w:trPr>
          <w:trHeight w:val="145"/>
        </w:trPr>
        <w:tc>
          <w:tcPr>
            <w:tcW w:w="2500" w:type="dxa"/>
            <w:vAlign w:val="bottom"/>
          </w:tcPr>
          <w:p>
            <w:pPr>
              <w:ind w:left="20"/>
              <w:spacing w:after="0"/>
              <w:rPr>
                <w:sz w:val="20"/>
                <w:szCs w:val="20"/>
                <w:color w:val="auto"/>
              </w:rPr>
            </w:pPr>
            <w:r>
              <w:rPr>
                <w:rFonts w:ascii="Arial" w:cs="Arial" w:eastAsia="Arial" w:hAnsi="Arial"/>
                <w:sz w:val="11"/>
                <w:szCs w:val="11"/>
                <w:color w:val="auto"/>
              </w:rPr>
              <w:t>Net loss</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(108,543 )</w:t>
            </w: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(108,543 )</w:t>
            </w:r>
          </w:p>
        </w:tc>
        <w:tc>
          <w:tcPr>
            <w:tcW w:w="0" w:type="dxa"/>
            <w:vAlign w:val="bottom"/>
          </w:tcPr>
          <w:p>
            <w:pPr>
              <w:spacing w:after="0"/>
              <w:rPr>
                <w:sz w:val="1"/>
                <w:szCs w:val="1"/>
                <w:color w:val="auto"/>
              </w:rPr>
            </w:pPr>
          </w:p>
        </w:tc>
      </w:tr>
      <w:tr>
        <w:trPr>
          <w:trHeight w:val="20"/>
        </w:trPr>
        <w:tc>
          <w:tcPr>
            <w:tcW w:w="2500" w:type="dxa"/>
            <w:vAlign w:val="bottom"/>
            <w:vMerge w:val="restart"/>
          </w:tcPr>
          <w:p>
            <w:pPr>
              <w:ind w:left="20"/>
              <w:spacing w:after="0"/>
              <w:rPr>
                <w:sz w:val="20"/>
                <w:szCs w:val="20"/>
                <w:color w:val="auto"/>
              </w:rPr>
            </w:pPr>
            <w:r>
              <w:rPr>
                <w:rFonts w:ascii="Arial" w:cs="Arial" w:eastAsia="Arial" w:hAnsi="Arial"/>
                <w:sz w:val="11"/>
                <w:szCs w:val="11"/>
                <w:color w:val="auto"/>
              </w:rPr>
              <w:t>Balance as of December 31, 2020</w:t>
            </w: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500" w:type="dxa"/>
            <w:vAlign w:val="bottom"/>
            <w:vMerge w:val="continue"/>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38,120,606</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394,963</w:t>
            </w:r>
          </w:p>
        </w:tc>
        <w:tc>
          <w:tcPr>
            <w:tcW w:w="120" w:type="dxa"/>
            <w:vAlign w:val="bottom"/>
          </w:tcPr>
          <w:p>
            <w:pPr>
              <w:spacing w:after="0"/>
              <w:rPr>
                <w:sz w:val="11"/>
                <w:szCs w:val="11"/>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(174,740 )</w:t>
            </w: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(188 )</w:t>
            </w: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220,039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5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500" w:type="dxa"/>
            <w:vAlign w:val="bottom"/>
            <w:shd w:val="clear" w:color="auto" w:fill="CFF0FC"/>
          </w:tcPr>
          <w:p>
            <w:pPr>
              <w:ind w:left="20"/>
              <w:spacing w:after="0" w:line="99" w:lineRule="exact"/>
              <w:rPr>
                <w:sz w:val="20"/>
                <w:szCs w:val="20"/>
                <w:color w:val="auto"/>
              </w:rPr>
            </w:pPr>
            <w:r>
              <w:rPr>
                <w:rFonts w:ascii="Arial" w:cs="Arial" w:eastAsia="Arial" w:hAnsi="Arial"/>
                <w:sz w:val="11"/>
                <w:szCs w:val="11"/>
                <w:color w:val="auto"/>
              </w:rPr>
              <w:t>Issuance of common stock upon exercise of</w:t>
            </w:r>
          </w:p>
        </w:tc>
        <w:tc>
          <w:tcPr>
            <w:tcW w:w="7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6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8"/>
                <w:szCs w:val="8"/>
                <w:color w:val="auto"/>
              </w:rPr>
            </w:pPr>
          </w:p>
        </w:tc>
        <w:tc>
          <w:tcPr>
            <w:tcW w:w="5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8"/>
                <w:szCs w:val="8"/>
                <w:color w:val="auto"/>
              </w:rPr>
            </w:pPr>
          </w:p>
        </w:tc>
        <w:tc>
          <w:tcPr>
            <w:tcW w:w="7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640" w:type="dxa"/>
            <w:vAlign w:val="bottom"/>
            <w:tcBorders>
              <w:right w:val="single" w:sz="8" w:color="auto"/>
            </w:tcBorders>
            <w:gridSpan w:val="2"/>
            <w:vMerge w:val="restart"/>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8"/>
                <w:szCs w:val="8"/>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124,013</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394</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6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394</w:t>
            </w:r>
          </w:p>
        </w:tc>
        <w:tc>
          <w:tcPr>
            <w:tcW w:w="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50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stock options</w:t>
            </w:r>
          </w:p>
        </w:tc>
        <w:tc>
          <w:tcPr>
            <w:tcW w:w="74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78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auto"/>
            </w:tcBorders>
            <w:gridSpan w:val="2"/>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500" w:type="dxa"/>
            <w:vAlign w:val="bottom"/>
          </w:tcPr>
          <w:p>
            <w:pPr>
              <w:ind w:left="20"/>
              <w:spacing w:after="0" w:line="99" w:lineRule="exact"/>
              <w:rPr>
                <w:sz w:val="20"/>
                <w:szCs w:val="20"/>
                <w:color w:val="auto"/>
              </w:rPr>
            </w:pPr>
            <w:r>
              <w:rPr>
                <w:rFonts w:ascii="Arial" w:cs="Arial" w:eastAsia="Arial" w:hAnsi="Arial"/>
                <w:sz w:val="11"/>
                <w:szCs w:val="11"/>
                <w:color w:val="auto"/>
              </w:rPr>
              <w:t>Issuance of common stock under employee stock</w:t>
            </w: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45,610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653</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653</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20"/>
              <w:spacing w:after="0"/>
              <w:rPr>
                <w:sz w:val="20"/>
                <w:szCs w:val="20"/>
                <w:color w:val="auto"/>
              </w:rPr>
            </w:pPr>
            <w:r>
              <w:rPr>
                <w:rFonts w:ascii="Arial" w:cs="Arial" w:eastAsia="Arial" w:hAnsi="Arial"/>
                <w:sz w:val="11"/>
                <w:szCs w:val="11"/>
                <w:color w:val="auto"/>
              </w:rPr>
              <w:t>purchase plan</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50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rPr>
              <w:t>Issuance of common stock in connection with</w:t>
            </w:r>
          </w:p>
        </w:tc>
        <w:tc>
          <w:tcPr>
            <w:tcW w:w="7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6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8"/>
                <w:szCs w:val="8"/>
                <w:color w:val="auto"/>
              </w:rPr>
            </w:pPr>
          </w:p>
        </w:tc>
        <w:tc>
          <w:tcPr>
            <w:tcW w:w="5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8"/>
                <w:szCs w:val="8"/>
                <w:color w:val="auto"/>
              </w:rPr>
            </w:pPr>
          </w:p>
        </w:tc>
        <w:tc>
          <w:tcPr>
            <w:tcW w:w="7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640" w:type="dxa"/>
            <w:vAlign w:val="bottom"/>
            <w:tcBorders>
              <w:right w:val="single" w:sz="8" w:color="auto"/>
            </w:tcBorders>
            <w:gridSpan w:val="2"/>
            <w:vMerge w:val="restart"/>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8"/>
                <w:szCs w:val="8"/>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4,400,000</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78,584</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6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78,584</w:t>
            </w:r>
          </w:p>
        </w:tc>
        <w:tc>
          <w:tcPr>
            <w:tcW w:w="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500" w:type="dxa"/>
            <w:vAlign w:val="bottom"/>
            <w:shd w:val="clear" w:color="auto" w:fill="CFF0FC"/>
          </w:tcPr>
          <w:p>
            <w:pPr>
              <w:ind w:left="180"/>
              <w:spacing w:after="0"/>
              <w:rPr>
                <w:sz w:val="20"/>
                <w:szCs w:val="20"/>
                <w:color w:val="auto"/>
              </w:rPr>
            </w:pPr>
            <w:r>
              <w:rPr>
                <w:rFonts w:ascii="Arial" w:cs="Arial" w:eastAsia="Arial" w:hAnsi="Arial"/>
                <w:sz w:val="11"/>
                <w:szCs w:val="11"/>
                <w:color w:val="auto"/>
              </w:rPr>
              <w:t>follow-on offering, net of offering costs</w:t>
            </w:r>
          </w:p>
        </w:tc>
        <w:tc>
          <w:tcPr>
            <w:tcW w:w="74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78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auto"/>
            </w:tcBorders>
            <w:gridSpan w:val="2"/>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20"/>
              <w:spacing w:after="0"/>
              <w:rPr>
                <w:sz w:val="20"/>
                <w:szCs w:val="20"/>
                <w:color w:val="auto"/>
              </w:rPr>
            </w:pPr>
            <w:r>
              <w:rPr>
                <w:rFonts w:ascii="Arial" w:cs="Arial" w:eastAsia="Arial" w:hAnsi="Arial"/>
                <w:sz w:val="11"/>
                <w:szCs w:val="11"/>
                <w:color w:val="auto"/>
              </w:rPr>
              <w:t>Costs related to the follow-on offering</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(875 )</w:t>
            </w:r>
          </w:p>
        </w:tc>
        <w:tc>
          <w:tcPr>
            <w:tcW w:w="10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(875 )</w:t>
            </w:r>
          </w:p>
        </w:tc>
        <w:tc>
          <w:tcPr>
            <w:tcW w:w="0" w:type="dxa"/>
            <w:vAlign w:val="bottom"/>
          </w:tcPr>
          <w:p>
            <w:pPr>
              <w:spacing w:after="0"/>
              <w:rPr>
                <w:sz w:val="1"/>
                <w:szCs w:val="1"/>
                <w:color w:val="auto"/>
              </w:rPr>
            </w:pPr>
          </w:p>
        </w:tc>
      </w:tr>
      <w:tr>
        <w:trPr>
          <w:trHeight w:val="98"/>
        </w:trPr>
        <w:tc>
          <w:tcPr>
            <w:tcW w:w="2500" w:type="dxa"/>
            <w:vAlign w:val="bottom"/>
            <w:shd w:val="clear" w:color="auto" w:fill="CFF0FC"/>
          </w:tcPr>
          <w:p>
            <w:pPr>
              <w:ind w:left="20"/>
              <w:spacing w:after="0" w:line="99" w:lineRule="exact"/>
              <w:rPr>
                <w:sz w:val="20"/>
                <w:szCs w:val="20"/>
                <w:color w:val="auto"/>
              </w:rPr>
            </w:pPr>
            <w:r>
              <w:rPr>
                <w:rFonts w:ascii="Arial" w:cs="Arial" w:eastAsia="Arial" w:hAnsi="Arial"/>
                <w:sz w:val="11"/>
                <w:szCs w:val="11"/>
                <w:color w:val="auto"/>
              </w:rPr>
              <w:t>Stock-based compensation expense related to</w:t>
            </w:r>
          </w:p>
        </w:tc>
        <w:tc>
          <w:tcPr>
            <w:tcW w:w="6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40" w:type="dxa"/>
            <w:vAlign w:val="bottom"/>
            <w:tcBorders>
              <w:right w:val="single" w:sz="8" w:color="auto"/>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employee</w:t>
            </w:r>
          </w:p>
        </w:tc>
        <w:tc>
          <w:tcPr>
            <w:tcW w:w="7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9"/>
                <w:szCs w:val="9"/>
                <w:color w:val="auto"/>
              </w:rPr>
            </w:pPr>
          </w:p>
        </w:tc>
        <w:tc>
          <w:tcPr>
            <w:tcW w:w="6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9"/>
                <w:szCs w:val="9"/>
                <w:color w:val="auto"/>
              </w:rPr>
            </w:pPr>
          </w:p>
        </w:tc>
        <w:tc>
          <w:tcPr>
            <w:tcW w:w="5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9"/>
                <w:szCs w:val="9"/>
                <w:color w:val="auto"/>
              </w:rPr>
            </w:pPr>
          </w:p>
        </w:tc>
        <w:tc>
          <w:tcPr>
            <w:tcW w:w="7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9"/>
                <w:szCs w:val="9"/>
                <w:color w:val="auto"/>
              </w:rPr>
            </w:pPr>
          </w:p>
        </w:tc>
        <w:tc>
          <w:tcPr>
            <w:tcW w:w="640" w:type="dxa"/>
            <w:vAlign w:val="bottom"/>
            <w:tcBorders>
              <w:right w:val="single" w:sz="8" w:color="auto"/>
            </w:tcBorders>
            <w:gridSpan w:val="2"/>
            <w:vMerge w:val="restart"/>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12,541</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9"/>
                <w:szCs w:val="9"/>
                <w:color w:val="auto"/>
              </w:rPr>
            </w:pPr>
          </w:p>
        </w:tc>
        <w:tc>
          <w:tcPr>
            <w:tcW w:w="6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9"/>
                <w:szCs w:val="9"/>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12,541</w:t>
            </w:r>
          </w:p>
        </w:tc>
        <w:tc>
          <w:tcPr>
            <w:tcW w:w="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500" w:type="dxa"/>
            <w:vAlign w:val="bottom"/>
            <w:shd w:val="clear" w:color="auto" w:fill="CFF0FC"/>
          </w:tcPr>
          <w:p>
            <w:pPr>
              <w:ind w:left="20"/>
              <w:spacing w:after="0"/>
              <w:rPr>
                <w:sz w:val="20"/>
                <w:szCs w:val="20"/>
                <w:color w:val="auto"/>
              </w:rPr>
            </w:pPr>
            <w:r>
              <w:rPr>
                <w:rFonts w:ascii="Arial" w:cs="Arial" w:eastAsia="Arial" w:hAnsi="Arial"/>
                <w:sz w:val="11"/>
                <w:szCs w:val="11"/>
                <w:color w:val="auto"/>
              </w:rPr>
              <w:t>stock awards</w:t>
            </w:r>
          </w:p>
        </w:tc>
        <w:tc>
          <w:tcPr>
            <w:tcW w:w="74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78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auto"/>
            </w:tcBorders>
            <w:gridSpan w:val="2"/>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500" w:type="dxa"/>
            <w:vAlign w:val="bottom"/>
          </w:tcPr>
          <w:p>
            <w:pPr>
              <w:ind w:left="20"/>
              <w:spacing w:after="0" w:line="99" w:lineRule="exact"/>
              <w:rPr>
                <w:sz w:val="20"/>
                <w:szCs w:val="20"/>
                <w:color w:val="auto"/>
              </w:rPr>
            </w:pPr>
            <w:r>
              <w:rPr>
                <w:rFonts w:ascii="Arial" w:cs="Arial" w:eastAsia="Arial" w:hAnsi="Arial"/>
                <w:sz w:val="11"/>
                <w:szCs w:val="11"/>
                <w:color w:val="auto"/>
              </w:rPr>
              <w:t>Stock-based compensation expense related to</w:t>
            </w: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795</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795</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20"/>
              <w:spacing w:after="0"/>
              <w:rPr>
                <w:sz w:val="20"/>
                <w:szCs w:val="20"/>
                <w:color w:val="auto"/>
              </w:rPr>
            </w:pPr>
            <w:r>
              <w:rPr>
                <w:rFonts w:ascii="Arial" w:cs="Arial" w:eastAsia="Arial" w:hAnsi="Arial"/>
                <w:sz w:val="11"/>
                <w:szCs w:val="11"/>
                <w:color w:val="auto"/>
              </w:rPr>
              <w:t>employee stock purchases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500" w:type="dxa"/>
            <w:vAlign w:val="bottom"/>
            <w:shd w:val="clear" w:color="auto" w:fill="CFF0FC"/>
          </w:tcPr>
          <w:p>
            <w:pPr>
              <w:ind w:left="20"/>
              <w:spacing w:after="0"/>
              <w:rPr>
                <w:sz w:val="20"/>
                <w:szCs w:val="20"/>
                <w:color w:val="auto"/>
              </w:rPr>
            </w:pPr>
            <w:r>
              <w:rPr>
                <w:rFonts w:ascii="Arial" w:cs="Arial" w:eastAsia="Arial" w:hAnsi="Arial"/>
                <w:sz w:val="11"/>
                <w:szCs w:val="11"/>
                <w:color w:val="auto"/>
              </w:rPr>
              <w:t>Vesting of early exercised common stock</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292</w:t>
            </w: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500" w:type="dxa"/>
            <w:vAlign w:val="bottom"/>
          </w:tcPr>
          <w:p>
            <w:pPr>
              <w:ind w:left="20"/>
              <w:spacing w:after="0" w:line="125" w:lineRule="exact"/>
              <w:rPr>
                <w:sz w:val="20"/>
                <w:szCs w:val="20"/>
                <w:color w:val="auto"/>
              </w:rPr>
            </w:pPr>
            <w:r>
              <w:rPr>
                <w:rFonts w:ascii="Arial" w:cs="Arial" w:eastAsia="Arial" w:hAnsi="Arial"/>
                <w:sz w:val="11"/>
                <w:szCs w:val="11"/>
                <w:color w:val="auto"/>
              </w:rPr>
              <w:t>Other comprehensive loss</w:t>
            </w:r>
          </w:p>
        </w:tc>
        <w:tc>
          <w:tcPr>
            <w:tcW w:w="74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8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40" w:type="dxa"/>
            <w:vAlign w:val="bottom"/>
            <w:tcBorders>
              <w:right w:val="single" w:sz="8" w:color="auto"/>
            </w:tcBorders>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Arial" w:cs="Arial" w:eastAsia="Arial" w:hAnsi="Arial"/>
                <w:sz w:val="11"/>
                <w:szCs w:val="11"/>
                <w:color w:val="auto"/>
              </w:rPr>
              <w:t>640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1"/>
                <w:szCs w:val="11"/>
                <w:color w:val="auto"/>
              </w:rPr>
              <w:t>640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500" w:type="dxa"/>
            <w:vAlign w:val="bottom"/>
          </w:tcPr>
          <w:p>
            <w:pPr>
              <w:ind w:left="20"/>
              <w:spacing w:after="0"/>
              <w:rPr>
                <w:sz w:val="20"/>
                <w:szCs w:val="20"/>
                <w:color w:val="auto"/>
              </w:rPr>
            </w:pPr>
            <w:r>
              <w:rPr>
                <w:rFonts w:ascii="Arial" w:cs="Arial" w:eastAsia="Arial" w:hAnsi="Arial"/>
                <w:sz w:val="11"/>
                <w:szCs w:val="11"/>
                <w:color w:val="auto"/>
              </w:rPr>
              <w:t>Net loss</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(128,332 )</w:t>
            </w: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(128,332 )</w:t>
            </w:r>
          </w:p>
        </w:tc>
        <w:tc>
          <w:tcPr>
            <w:tcW w:w="0" w:type="dxa"/>
            <w:vAlign w:val="bottom"/>
          </w:tcPr>
          <w:p>
            <w:pPr>
              <w:spacing w:after="0"/>
              <w:rPr>
                <w:sz w:val="1"/>
                <w:szCs w:val="1"/>
                <w:color w:val="auto"/>
              </w:rPr>
            </w:pPr>
          </w:p>
        </w:tc>
      </w:tr>
      <w:tr>
        <w:trPr>
          <w:trHeight w:val="20"/>
        </w:trPr>
        <w:tc>
          <w:tcPr>
            <w:tcW w:w="2500" w:type="dxa"/>
            <w:vAlign w:val="bottom"/>
            <w:vMerge w:val="restart"/>
          </w:tcPr>
          <w:p>
            <w:pPr>
              <w:ind w:left="20"/>
              <w:spacing w:after="0"/>
              <w:rPr>
                <w:sz w:val="20"/>
                <w:szCs w:val="20"/>
                <w:color w:val="auto"/>
              </w:rPr>
            </w:pPr>
            <w:r>
              <w:rPr>
                <w:rFonts w:ascii="Arial" w:cs="Arial" w:eastAsia="Arial" w:hAnsi="Arial"/>
                <w:sz w:val="11"/>
                <w:szCs w:val="11"/>
                <w:color w:val="auto"/>
              </w:rPr>
              <w:t>Balance as of December 31, 2021</w:t>
            </w: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500" w:type="dxa"/>
            <w:vAlign w:val="bottom"/>
            <w:vMerge w:val="continue"/>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42,690,229</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487,347</w:t>
            </w:r>
          </w:p>
        </w:tc>
        <w:tc>
          <w:tcPr>
            <w:tcW w:w="120" w:type="dxa"/>
            <w:vAlign w:val="bottom"/>
          </w:tcPr>
          <w:p>
            <w:pPr>
              <w:spacing w:after="0"/>
              <w:rPr>
                <w:sz w:val="11"/>
                <w:szCs w:val="11"/>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(303,072 )</w:t>
            </w: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452</w:t>
            </w:r>
          </w:p>
        </w:tc>
        <w:tc>
          <w:tcPr>
            <w:tcW w:w="120" w:type="dxa"/>
            <w:vAlign w:val="bottom"/>
          </w:tcPr>
          <w:p>
            <w:pPr>
              <w:spacing w:after="0"/>
              <w:rPr>
                <w:sz w:val="11"/>
                <w:szCs w:val="11"/>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184,731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-3205480</wp:posOffset>
            </wp:positionV>
            <wp:extent cx="7132320" cy="857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-1559560</wp:posOffset>
            </wp:positionV>
            <wp:extent cx="7132320" cy="946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946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8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5" w:name="page126"/>
    <w:bookmarkEnd w:id="125"/>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center"/>
              <w:ind w:right="272"/>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center"/>
              <w:ind w:right="252"/>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86"/>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center"/>
              <w:ind w:right="272"/>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center"/>
              <w:ind w:right="25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28"/>
        </w:trPr>
        <w:tc>
          <w:tcPr>
            <w:tcW w:w="7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96"/>
        </w:trPr>
        <w:tc>
          <w:tcPr>
            <w:tcW w:w="7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(128,332 )</w:t>
            </w:r>
          </w:p>
        </w:tc>
        <w:tc>
          <w:tcPr>
            <w:tcW w:w="4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(108,543 )</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380"/>
              <w:spacing w:after="0" w:line="202" w:lineRule="exact"/>
              <w:rPr>
                <w:sz w:val="20"/>
                <w:szCs w:val="20"/>
                <w:color w:val="auto"/>
              </w:rPr>
            </w:pPr>
            <w:r>
              <w:rPr>
                <w:rFonts w:ascii="Arial" w:cs="Arial" w:eastAsia="Arial" w:hAnsi="Arial"/>
                <w:sz w:val="18"/>
                <w:szCs w:val="18"/>
                <w:color w:val="auto"/>
              </w:rPr>
              <w:t>Accretion of discount on short term investments</w:t>
            </w:r>
          </w:p>
        </w:tc>
        <w:tc>
          <w:tcPr>
            <w:tcW w:w="260" w:type="dxa"/>
            <w:vAlign w:val="bottom"/>
          </w:tcPr>
          <w:p>
            <w:pPr>
              <w:spacing w:after="0"/>
              <w:rPr>
                <w:sz w:val="17"/>
                <w:szCs w:val="17"/>
                <w:color w:val="auto"/>
              </w:rPr>
            </w:pPr>
          </w:p>
        </w:tc>
        <w:tc>
          <w:tcPr>
            <w:tcW w:w="14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Amortization of right of use assets</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759</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03"/>
        </w:trPr>
        <w:tc>
          <w:tcPr>
            <w:tcW w:w="7440" w:type="dxa"/>
            <w:vAlign w:val="bottom"/>
          </w:tcPr>
          <w:p>
            <w:pPr>
              <w:ind w:left="380"/>
              <w:spacing w:after="0" w:line="202" w:lineRule="exact"/>
              <w:rPr>
                <w:sz w:val="20"/>
                <w:szCs w:val="20"/>
                <w:color w:val="auto"/>
              </w:rPr>
            </w:pPr>
            <w:r>
              <w:rPr>
                <w:rFonts w:ascii="Arial" w:cs="Arial" w:eastAsia="Arial" w:hAnsi="Arial"/>
                <w:sz w:val="18"/>
                <w:szCs w:val="18"/>
                <w:color w:val="auto"/>
              </w:rPr>
              <w:t>Depreciation expense</w:t>
            </w:r>
          </w:p>
        </w:tc>
        <w:tc>
          <w:tcPr>
            <w:tcW w:w="260" w:type="dxa"/>
            <w:vAlign w:val="bottom"/>
          </w:tcPr>
          <w:p>
            <w:pPr>
              <w:spacing w:after="0"/>
              <w:rPr>
                <w:sz w:val="17"/>
                <w:szCs w:val="17"/>
                <w:color w:val="auto"/>
              </w:rPr>
            </w:pPr>
          </w:p>
        </w:tc>
        <w:tc>
          <w:tcPr>
            <w:tcW w:w="14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3,019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13,457</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203"/>
        </w:trPr>
        <w:tc>
          <w:tcPr>
            <w:tcW w:w="7440" w:type="dxa"/>
            <w:vAlign w:val="bottom"/>
          </w:tcPr>
          <w:p>
            <w:pPr>
              <w:ind w:left="380"/>
              <w:spacing w:after="0" w:line="202" w:lineRule="exact"/>
              <w:rPr>
                <w:sz w:val="20"/>
                <w:szCs w:val="20"/>
                <w:color w:val="auto"/>
              </w:rPr>
            </w:pPr>
            <w:r>
              <w:rPr>
                <w:rFonts w:ascii="Arial" w:cs="Arial" w:eastAsia="Arial" w:hAnsi="Arial"/>
                <w:sz w:val="18"/>
                <w:szCs w:val="18"/>
                <w:color w:val="auto"/>
              </w:rPr>
              <w:t>Change in fair value of derivative liability</w:t>
            </w:r>
          </w:p>
        </w:tc>
        <w:tc>
          <w:tcPr>
            <w:tcW w:w="260" w:type="dxa"/>
            <w:vAlign w:val="bottom"/>
          </w:tcPr>
          <w:p>
            <w:pPr>
              <w:spacing w:after="0"/>
              <w:rPr>
                <w:sz w:val="17"/>
                <w:szCs w:val="17"/>
                <w:color w:val="auto"/>
              </w:rPr>
            </w:pPr>
          </w:p>
        </w:tc>
        <w:tc>
          <w:tcPr>
            <w:tcW w:w="14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Change in fair value of convertible preferred stock liabilities</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11,387</w:t>
            </w:r>
          </w:p>
        </w:tc>
        <w:tc>
          <w:tcPr>
            <w:tcW w:w="0" w:type="dxa"/>
            <w:vAlign w:val="bottom"/>
          </w:tcPr>
          <w:p>
            <w:pPr>
              <w:spacing w:after="0"/>
              <w:rPr>
                <w:sz w:val="1"/>
                <w:szCs w:val="1"/>
                <w:color w:val="auto"/>
              </w:rPr>
            </w:pPr>
          </w:p>
        </w:tc>
      </w:tr>
      <w:tr>
        <w:trPr>
          <w:trHeight w:val="203"/>
        </w:trPr>
        <w:tc>
          <w:tcPr>
            <w:tcW w:w="7440" w:type="dxa"/>
            <w:vAlign w:val="bottom"/>
          </w:tcPr>
          <w:p>
            <w:pPr>
              <w:ind w:left="38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Other assets</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(8,072 )</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(4,107 )</w:t>
            </w:r>
          </w:p>
        </w:tc>
        <w:tc>
          <w:tcPr>
            <w:tcW w:w="0" w:type="dxa"/>
            <w:vAlign w:val="bottom"/>
          </w:tcPr>
          <w:p>
            <w:pPr>
              <w:spacing w:after="0"/>
              <w:rPr>
                <w:sz w:val="1"/>
                <w:szCs w:val="1"/>
                <w:color w:val="auto"/>
              </w:rPr>
            </w:pPr>
          </w:p>
        </w:tc>
      </w:tr>
      <w:tr>
        <w:trPr>
          <w:trHeight w:val="203"/>
        </w:trPr>
        <w:tc>
          <w:tcPr>
            <w:tcW w:w="7440" w:type="dxa"/>
            <w:vAlign w:val="bottom"/>
          </w:tcPr>
          <w:p>
            <w:pPr>
              <w:ind w:left="560"/>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(313 )</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9,742</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9,566</w:t>
            </w:r>
          </w:p>
        </w:tc>
        <w:tc>
          <w:tcPr>
            <w:tcW w:w="0" w:type="dxa"/>
            <w:vAlign w:val="bottom"/>
          </w:tcPr>
          <w:p>
            <w:pPr>
              <w:spacing w:after="0"/>
              <w:rPr>
                <w:sz w:val="1"/>
                <w:szCs w:val="1"/>
                <w:color w:val="auto"/>
              </w:rPr>
            </w:pPr>
          </w:p>
        </w:tc>
      </w:tr>
      <w:tr>
        <w:trPr>
          <w:trHeight w:val="202"/>
        </w:trPr>
        <w:tc>
          <w:tcPr>
            <w:tcW w:w="7440" w:type="dxa"/>
            <w:vAlign w:val="bottom"/>
          </w:tcPr>
          <w:p>
            <w:pPr>
              <w:ind w:left="560"/>
              <w:spacing w:after="0" w:line="202" w:lineRule="exact"/>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(1,404 )</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(1,266 )</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Other liabilities</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(245 )</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40" w:type="dxa"/>
            <w:vAlign w:val="bottom"/>
          </w:tcPr>
          <w:p>
            <w:pPr>
              <w:ind w:left="560"/>
              <w:spacing w:after="0" w:line="202" w:lineRule="exact"/>
              <w:rPr>
                <w:sz w:val="20"/>
                <w:szCs w:val="20"/>
                <w:color w:val="auto"/>
              </w:rPr>
            </w:pPr>
            <w:r>
              <w:rPr>
                <w:rFonts w:ascii="Arial" w:cs="Arial" w:eastAsia="Arial" w:hAnsi="Arial"/>
                <w:sz w:val="18"/>
                <w:szCs w:val="18"/>
                <w:color w:val="auto"/>
              </w:rPr>
              <w:t>Deferred revenue from collaborations</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(4,359 )</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196"/>
        </w:trPr>
        <w:tc>
          <w:tcPr>
            <w:tcW w:w="7440" w:type="dxa"/>
            <w:vAlign w:val="bottom"/>
            <w:tcBorders>
              <w:bottom w:val="single" w:sz="8" w:color="CFF0FC"/>
            </w:tcBorders>
            <w:shd w:val="clear" w:color="auto" w:fill="CFF0FC"/>
          </w:tcPr>
          <w:p>
            <w:pPr>
              <w:ind w:left="740"/>
              <w:spacing w:after="0" w:line="196" w:lineRule="exact"/>
              <w:rPr>
                <w:sz w:val="20"/>
                <w:szCs w:val="20"/>
                <w:color w:val="auto"/>
              </w:rPr>
            </w:pPr>
            <w:r>
              <w:rPr>
                <w:rFonts w:ascii="Arial" w:cs="Arial" w:eastAsia="Arial" w:hAnsi="Arial"/>
                <w:sz w:val="18"/>
                <w:szCs w:val="18"/>
                <w:color w:val="auto"/>
              </w:rPr>
              <w:t>Net cash and cash equivalents used in operating activities</w:t>
            </w: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(115,662 )</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(74,263 )</w:t>
            </w:r>
          </w:p>
        </w:tc>
        <w:tc>
          <w:tcPr>
            <w:tcW w:w="0" w:type="dxa"/>
            <w:vAlign w:val="bottom"/>
          </w:tcPr>
          <w:p>
            <w:pPr>
              <w:spacing w:after="0"/>
              <w:rPr>
                <w:sz w:val="1"/>
                <w:szCs w:val="1"/>
                <w:color w:val="auto"/>
              </w:rPr>
            </w:pPr>
          </w:p>
        </w:tc>
      </w:tr>
      <w:tr>
        <w:trPr>
          <w:trHeight w:val="196"/>
        </w:trPr>
        <w:tc>
          <w:tcPr>
            <w:tcW w:w="7440" w:type="dxa"/>
            <w:vAlign w:val="bottom"/>
          </w:tcPr>
          <w:p>
            <w:pPr>
              <w:ind w:left="20"/>
              <w:spacing w:after="0" w:line="196" w:lineRule="exact"/>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Purchases of short-term investments</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(2,696 )</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(32,097 )</w:t>
            </w: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Purchases of long-term investments</w:t>
            </w:r>
          </w:p>
        </w:tc>
        <w:tc>
          <w:tcPr>
            <w:tcW w:w="2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(16,390 )</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(13,184 )</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Maturities of short-term investments</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23,000</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80,100</w:t>
            </w: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Purchases of property and equipment</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(892 )</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(2,064 )</w:t>
            </w:r>
          </w:p>
        </w:tc>
        <w:tc>
          <w:tcPr>
            <w:tcW w:w="0" w:type="dxa"/>
            <w:vAlign w:val="bottom"/>
          </w:tcPr>
          <w:p>
            <w:pPr>
              <w:spacing w:after="0"/>
              <w:rPr>
                <w:sz w:val="1"/>
                <w:szCs w:val="1"/>
                <w:color w:val="auto"/>
              </w:rPr>
            </w:pPr>
          </w:p>
        </w:tc>
      </w:tr>
      <w:tr>
        <w:trPr>
          <w:trHeight w:val="155"/>
        </w:trPr>
        <w:tc>
          <w:tcPr>
            <w:tcW w:w="7440" w:type="dxa"/>
            <w:vAlign w:val="bottom"/>
            <w:shd w:val="clear" w:color="auto" w:fill="CFF0FC"/>
          </w:tcPr>
          <w:p>
            <w:pPr>
              <w:ind w:left="740"/>
              <w:spacing w:after="0" w:line="156" w:lineRule="exact"/>
              <w:rPr>
                <w:sz w:val="20"/>
                <w:szCs w:val="20"/>
                <w:color w:val="auto"/>
              </w:rPr>
            </w:pPr>
            <w:r>
              <w:rPr>
                <w:rFonts w:ascii="Arial" w:cs="Arial" w:eastAsia="Arial" w:hAnsi="Arial"/>
                <w:sz w:val="18"/>
                <w:szCs w:val="18"/>
                <w:color w:val="auto"/>
              </w:rPr>
              <w:t>Net cash and cash equivalents provided by investing</w:t>
            </w:r>
          </w:p>
        </w:tc>
        <w:tc>
          <w:tcPr>
            <w:tcW w:w="26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3,022</w:t>
            </w:r>
          </w:p>
        </w:tc>
        <w:tc>
          <w:tcPr>
            <w:tcW w:w="420" w:type="dxa"/>
            <w:vAlign w:val="bottom"/>
            <w:gridSpan w:val="2"/>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vMerge w:val="restart"/>
            <w:shd w:val="clear" w:color="auto" w:fill="CFF0FC"/>
          </w:tcPr>
          <w:p>
            <w:pPr>
              <w:jc w:val="right"/>
              <w:ind w:right="12"/>
              <w:spacing w:after="0"/>
              <w:rPr>
                <w:sz w:val="20"/>
                <w:szCs w:val="20"/>
                <w:color w:val="auto"/>
              </w:rPr>
            </w:pPr>
            <w:r>
              <w:rPr>
                <w:rFonts w:ascii="Arial" w:cs="Arial" w:eastAsia="Arial" w:hAnsi="Arial"/>
                <w:sz w:val="18"/>
                <w:szCs w:val="18"/>
                <w:color w:val="auto"/>
              </w:rPr>
              <w:t>32,755</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880"/>
              <w:spacing w:after="0" w:line="202" w:lineRule="exact"/>
              <w:rPr>
                <w:sz w:val="20"/>
                <w:szCs w:val="20"/>
                <w:color w:val="auto"/>
              </w:rPr>
            </w:pPr>
            <w:r>
              <w:rPr>
                <w:rFonts w:ascii="Arial" w:cs="Arial" w:eastAsia="Arial" w:hAnsi="Arial"/>
                <w:sz w:val="18"/>
                <w:szCs w:val="18"/>
                <w:color w:val="auto"/>
              </w:rPr>
              <w:t>activities</w:t>
            </w:r>
          </w:p>
        </w:tc>
        <w:tc>
          <w:tcPr>
            <w:tcW w:w="260" w:type="dxa"/>
            <w:vAlign w:val="bottom"/>
            <w:vMerge w:val="continue"/>
            <w:shd w:val="clear" w:color="auto" w:fill="CFF0FC"/>
          </w:tcPr>
          <w:p>
            <w:pPr>
              <w:spacing w:after="0"/>
              <w:rPr>
                <w:sz w:val="17"/>
                <w:szCs w:val="17"/>
                <w:color w:val="auto"/>
              </w:rPr>
            </w:pPr>
          </w:p>
        </w:tc>
        <w:tc>
          <w:tcPr>
            <w:tcW w:w="1480" w:type="dxa"/>
            <w:vAlign w:val="bottom"/>
            <w:vMerge w:val="continue"/>
            <w:shd w:val="clear" w:color="auto" w:fill="CFF0FC"/>
          </w:tcPr>
          <w:p>
            <w:pPr>
              <w:spacing w:after="0"/>
              <w:rPr>
                <w:sz w:val="17"/>
                <w:szCs w:val="17"/>
                <w:color w:val="auto"/>
              </w:rPr>
            </w:pPr>
          </w:p>
        </w:tc>
        <w:tc>
          <w:tcPr>
            <w:tcW w:w="420" w:type="dxa"/>
            <w:vAlign w:val="bottom"/>
            <w:gridSpan w:val="2"/>
            <w:vMerge w:val="continue"/>
            <w:shd w:val="clear" w:color="auto" w:fill="CFF0FC"/>
          </w:tcPr>
          <w:p>
            <w:pPr>
              <w:spacing w:after="0"/>
              <w:rPr>
                <w:sz w:val="17"/>
                <w:szCs w:val="17"/>
                <w:color w:val="auto"/>
              </w:rPr>
            </w:pPr>
          </w:p>
        </w:tc>
        <w:tc>
          <w:tcPr>
            <w:tcW w:w="146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Cash flows from financing activities:</w:t>
            </w:r>
          </w:p>
        </w:tc>
        <w:tc>
          <w:tcPr>
            <w:tcW w:w="2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Payments on finance lease</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(79 )</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Payments of deferred offering costs</w:t>
            </w:r>
          </w:p>
        </w:tc>
        <w:tc>
          <w:tcPr>
            <w:tcW w:w="2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(875 )</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(4,116 )</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w w:val="98"/>
              </w:rPr>
              <w:t>Proceeds from issuance of common stock in connection with Follow-on Offering, net of costs</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78,584</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7440" w:type="dxa"/>
            <w:vAlign w:val="bottom"/>
          </w:tcPr>
          <w:p>
            <w:pPr>
              <w:ind w:left="200"/>
              <w:spacing w:after="0" w:line="162" w:lineRule="exact"/>
              <w:rPr>
                <w:sz w:val="20"/>
                <w:szCs w:val="20"/>
                <w:color w:val="auto"/>
              </w:rPr>
            </w:pPr>
            <w:r>
              <w:rPr>
                <w:rFonts w:ascii="Arial" w:cs="Arial" w:eastAsia="Arial" w:hAnsi="Arial"/>
                <w:sz w:val="18"/>
                <w:szCs w:val="18"/>
                <w:color w:val="auto"/>
              </w:rPr>
              <w:t>Proceeds from exercise of warrants for series A redeemable convertible</w:t>
            </w:r>
          </w:p>
        </w:tc>
        <w:tc>
          <w:tcPr>
            <w:tcW w:w="260" w:type="dxa"/>
            <w:vAlign w:val="bottom"/>
          </w:tcPr>
          <w:p>
            <w:pPr>
              <w:spacing w:after="0"/>
              <w:rPr>
                <w:sz w:val="14"/>
                <w:szCs w:val="14"/>
                <w:color w:val="auto"/>
              </w:rPr>
            </w:pPr>
          </w:p>
        </w:tc>
        <w:tc>
          <w:tcPr>
            <w:tcW w:w="148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vMerge w:val="restart"/>
          </w:tcPr>
          <w:p>
            <w:pPr>
              <w:jc w:val="right"/>
              <w:ind w:right="12"/>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2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4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Proceeds from issuance of redeemable convertible preferred stock Series</w:t>
            </w:r>
          </w:p>
        </w:tc>
        <w:tc>
          <w:tcPr>
            <w:tcW w:w="260" w:type="dxa"/>
            <w:vAlign w:val="bottom"/>
            <w:shd w:val="clear" w:color="auto" w:fill="CFF0FC"/>
          </w:tcPr>
          <w:p>
            <w:pPr>
              <w:spacing w:after="0"/>
              <w:rPr>
                <w:sz w:val="14"/>
                <w:szCs w:val="14"/>
                <w:color w:val="auto"/>
              </w:rPr>
            </w:pPr>
          </w:p>
        </w:tc>
        <w:tc>
          <w:tcPr>
            <w:tcW w:w="148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60" w:type="dxa"/>
            <w:vAlign w:val="bottom"/>
            <w:vMerge w:val="restart"/>
            <w:shd w:val="clear" w:color="auto" w:fill="CFF0FC"/>
          </w:tcPr>
          <w:p>
            <w:pPr>
              <w:jc w:val="right"/>
              <w:ind w:right="12"/>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B-1, net of $37 issuance costs paid</w:t>
            </w:r>
          </w:p>
        </w:tc>
        <w:tc>
          <w:tcPr>
            <w:tcW w:w="260" w:type="dxa"/>
            <w:vAlign w:val="bottom"/>
            <w:shd w:val="clear" w:color="auto" w:fill="CFF0FC"/>
          </w:tcPr>
          <w:p>
            <w:pPr>
              <w:spacing w:after="0"/>
              <w:rPr>
                <w:sz w:val="18"/>
                <w:szCs w:val="18"/>
                <w:color w:val="auto"/>
              </w:rPr>
            </w:pPr>
          </w:p>
        </w:tc>
        <w:tc>
          <w:tcPr>
            <w:tcW w:w="148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Payments of Series B-1 issuance cost</w:t>
            </w:r>
          </w:p>
        </w:tc>
        <w:tc>
          <w:tcPr>
            <w:tcW w:w="260" w:type="dxa"/>
            <w:vAlign w:val="bottom"/>
          </w:tcPr>
          <w:p>
            <w:pPr>
              <w:spacing w:after="0"/>
              <w:rPr>
                <w:sz w:val="17"/>
                <w:szCs w:val="17"/>
                <w:color w:val="auto"/>
              </w:rPr>
            </w:pPr>
          </w:p>
        </w:tc>
        <w:tc>
          <w:tcPr>
            <w:tcW w:w="14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(405 )</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the issuance of common stock under employee stock plans</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1,047</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162"/>
        </w:trPr>
        <w:tc>
          <w:tcPr>
            <w:tcW w:w="7440" w:type="dxa"/>
            <w:vAlign w:val="bottom"/>
          </w:tcPr>
          <w:p>
            <w:pPr>
              <w:ind w:left="200"/>
              <w:spacing w:after="0" w:line="162" w:lineRule="exact"/>
              <w:rPr>
                <w:sz w:val="20"/>
                <w:szCs w:val="20"/>
                <w:color w:val="auto"/>
              </w:rPr>
            </w:pPr>
            <w:r>
              <w:rPr>
                <w:rFonts w:ascii="Arial" w:cs="Arial" w:eastAsia="Arial" w:hAnsi="Arial"/>
                <w:sz w:val="18"/>
                <w:szCs w:val="18"/>
                <w:color w:val="auto"/>
              </w:rPr>
              <w:t>Proceeds from issuance of common stock in initial public offering, net</w:t>
            </w:r>
          </w:p>
        </w:tc>
        <w:tc>
          <w:tcPr>
            <w:tcW w:w="260" w:type="dxa"/>
            <w:vAlign w:val="bottom"/>
          </w:tcPr>
          <w:p>
            <w:pPr>
              <w:spacing w:after="0"/>
              <w:rPr>
                <w:sz w:val="14"/>
                <w:szCs w:val="14"/>
                <w:color w:val="auto"/>
              </w:rPr>
            </w:pPr>
          </w:p>
        </w:tc>
        <w:tc>
          <w:tcPr>
            <w:tcW w:w="148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vMerge w:val="restart"/>
          </w:tcPr>
          <w:p>
            <w:pPr>
              <w:jc w:val="right"/>
              <w:ind w:right="12"/>
              <w:spacing w:after="0"/>
              <w:rPr>
                <w:sz w:val="20"/>
                <w:szCs w:val="20"/>
                <w:color w:val="auto"/>
              </w:rPr>
            </w:pPr>
            <w:r>
              <w:rPr>
                <w:rFonts w:ascii="Arial" w:cs="Arial" w:eastAsia="Arial" w:hAnsi="Arial"/>
                <w:sz w:val="18"/>
                <w:szCs w:val="18"/>
                <w:color w:val="auto"/>
              </w:rPr>
              <w:t>139,500</w:t>
            </w:r>
          </w:p>
        </w:tc>
        <w:tc>
          <w:tcPr>
            <w:tcW w:w="0" w:type="dxa"/>
            <w:vAlign w:val="bottom"/>
          </w:tcPr>
          <w:p>
            <w:pPr>
              <w:spacing w:after="0"/>
              <w:rPr>
                <w:sz w:val="1"/>
                <w:szCs w:val="1"/>
                <w:color w:val="auto"/>
              </w:rPr>
            </w:pP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of underwriting commissions</w:t>
            </w:r>
          </w:p>
        </w:tc>
        <w:tc>
          <w:tcPr>
            <w:tcW w:w="2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4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Proceeds from issuance of common stock in connection with the</w:t>
            </w:r>
          </w:p>
        </w:tc>
        <w:tc>
          <w:tcPr>
            <w:tcW w:w="260" w:type="dxa"/>
            <w:vAlign w:val="bottom"/>
            <w:shd w:val="clear" w:color="auto" w:fill="CFF0FC"/>
          </w:tcPr>
          <w:p>
            <w:pPr>
              <w:spacing w:after="0"/>
              <w:rPr>
                <w:sz w:val="14"/>
                <w:szCs w:val="14"/>
                <w:color w:val="auto"/>
              </w:rPr>
            </w:pPr>
          </w:p>
        </w:tc>
        <w:tc>
          <w:tcPr>
            <w:tcW w:w="148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60" w:type="dxa"/>
            <w:vAlign w:val="bottom"/>
            <w:vMerge w:val="restart"/>
            <w:shd w:val="clear" w:color="auto" w:fill="CFF0FC"/>
          </w:tcPr>
          <w:p>
            <w:pPr>
              <w:jc w:val="right"/>
              <w:ind w:right="12"/>
              <w:spacing w:after="0"/>
              <w:rPr>
                <w:sz w:val="20"/>
                <w:szCs w:val="20"/>
                <w:color w:val="auto"/>
              </w:rPr>
            </w:pPr>
            <w:r>
              <w:rPr>
                <w:rFonts w:ascii="Arial" w:cs="Arial" w:eastAsia="Arial" w:hAnsi="Arial"/>
                <w:sz w:val="18"/>
                <w:szCs w:val="18"/>
                <w:color w:val="auto"/>
              </w:rPr>
              <w:t>16,042</w:t>
            </w:r>
          </w:p>
        </w:tc>
        <w:tc>
          <w:tcPr>
            <w:tcW w:w="0" w:type="dxa"/>
            <w:vAlign w:val="bottom"/>
          </w:tcPr>
          <w:p>
            <w:pPr>
              <w:spacing w:after="0"/>
              <w:rPr>
                <w:sz w:val="1"/>
                <w:szCs w:val="1"/>
                <w:color w:val="auto"/>
              </w:rPr>
            </w:pPr>
          </w:p>
        </w:tc>
      </w:tr>
      <w:tr>
        <w:trPr>
          <w:trHeight w:val="203"/>
        </w:trPr>
        <w:tc>
          <w:tcPr>
            <w:tcW w:w="7440" w:type="dxa"/>
            <w:vAlign w:val="bottom"/>
            <w:tcBorders>
              <w:bottom w:val="single" w:sz="8" w:color="CFF0FC"/>
            </w:tcBorders>
            <w:shd w:val="clear" w:color="auto" w:fill="CFF0FC"/>
          </w:tcPr>
          <w:p>
            <w:pPr>
              <w:ind w:left="340"/>
              <w:spacing w:after="0" w:line="202" w:lineRule="exact"/>
              <w:rPr>
                <w:sz w:val="20"/>
                <w:szCs w:val="20"/>
                <w:color w:val="auto"/>
              </w:rPr>
            </w:pPr>
            <w:r>
              <w:rPr>
                <w:rFonts w:ascii="Arial" w:cs="Arial" w:eastAsia="Arial" w:hAnsi="Arial"/>
                <w:sz w:val="18"/>
                <w:szCs w:val="18"/>
                <w:color w:val="auto"/>
              </w:rPr>
              <w:t>overallotment option, net of costs</w:t>
            </w:r>
          </w:p>
        </w:tc>
        <w:tc>
          <w:tcPr>
            <w:tcW w:w="26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7440" w:type="dxa"/>
            <w:vAlign w:val="bottom"/>
          </w:tcPr>
          <w:p>
            <w:pPr>
              <w:ind w:left="740"/>
              <w:spacing w:after="0"/>
              <w:rPr>
                <w:sz w:val="20"/>
                <w:szCs w:val="20"/>
                <w:color w:val="auto"/>
              </w:rPr>
            </w:pPr>
            <w:r>
              <w:rPr>
                <w:rFonts w:ascii="Arial" w:cs="Arial" w:eastAsia="Arial" w:hAnsi="Arial"/>
                <w:sz w:val="18"/>
                <w:szCs w:val="18"/>
                <w:color w:val="auto"/>
              </w:rPr>
              <w:t>Net cash and cash equivalents provided by financing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78,677</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192,348</w:t>
            </w:r>
          </w:p>
        </w:tc>
        <w:tc>
          <w:tcPr>
            <w:tcW w:w="0" w:type="dxa"/>
            <w:vAlign w:val="bottom"/>
          </w:tcPr>
          <w:p>
            <w:pPr>
              <w:spacing w:after="0"/>
              <w:rPr>
                <w:sz w:val="1"/>
                <w:szCs w:val="1"/>
                <w:color w:val="auto"/>
              </w:rPr>
            </w:pPr>
          </w:p>
        </w:tc>
      </w:tr>
      <w:tr>
        <w:trPr>
          <w:trHeight w:val="196"/>
        </w:trPr>
        <w:tc>
          <w:tcPr>
            <w:tcW w:w="7440" w:type="dxa"/>
            <w:vAlign w:val="bottom"/>
            <w:shd w:val="clear" w:color="auto" w:fill="CFF0FC"/>
          </w:tcPr>
          <w:p>
            <w:pPr>
              <w:ind w:left="740"/>
              <w:spacing w:after="0" w:line="196" w:lineRule="exact"/>
              <w:rPr>
                <w:sz w:val="20"/>
                <w:szCs w:val="20"/>
                <w:color w:val="auto"/>
              </w:rPr>
            </w:pPr>
            <w:r>
              <w:rPr>
                <w:rFonts w:ascii="Arial" w:cs="Arial" w:eastAsia="Arial" w:hAnsi="Arial"/>
                <w:sz w:val="18"/>
                <w:szCs w:val="18"/>
                <w:color w:val="auto"/>
              </w:rPr>
              <w:t>Net (decrease) increase in cash, cash equivalents, and restricted cash</w:t>
            </w:r>
          </w:p>
        </w:tc>
        <w:tc>
          <w:tcPr>
            <w:tcW w:w="26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(33,963 )</w:t>
            </w:r>
          </w:p>
        </w:tc>
        <w:tc>
          <w:tcPr>
            <w:tcW w:w="1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150,840</w:t>
            </w:r>
          </w:p>
        </w:tc>
        <w:tc>
          <w:tcPr>
            <w:tcW w:w="0" w:type="dxa"/>
            <w:vAlign w:val="bottom"/>
          </w:tcPr>
          <w:p>
            <w:pPr>
              <w:spacing w:after="0"/>
              <w:rPr>
                <w:sz w:val="1"/>
                <w:szCs w:val="1"/>
                <w:color w:val="auto"/>
              </w:rPr>
            </w:pP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Cash, cash equivalents, and restricted cash, beginning of period</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220,943</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70,103</w:t>
            </w:r>
          </w:p>
        </w:tc>
        <w:tc>
          <w:tcPr>
            <w:tcW w:w="0" w:type="dxa"/>
            <w:vAlign w:val="bottom"/>
          </w:tcPr>
          <w:p>
            <w:pPr>
              <w:spacing w:after="0"/>
              <w:rPr>
                <w:sz w:val="1"/>
                <w:szCs w:val="1"/>
                <w:color w:val="auto"/>
              </w:rPr>
            </w:pPr>
          </w:p>
        </w:tc>
      </w:tr>
      <w:tr>
        <w:trPr>
          <w:trHeight w:val="196"/>
        </w:trPr>
        <w:tc>
          <w:tcPr>
            <w:tcW w:w="74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cash equivalents, and restricted cash, end of period</w:t>
            </w: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186,980</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220,943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-3296920</wp:posOffset>
            </wp:positionV>
            <wp:extent cx="11176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-2405380</wp:posOffset>
            </wp:positionV>
            <wp:extent cx="11176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-673735</wp:posOffset>
            </wp:positionV>
            <wp:extent cx="11176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-5080</wp:posOffset>
            </wp:positionV>
            <wp:extent cx="11176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1760" cy="5715"/>
                    </a:xfrm>
                    <a:prstGeom prst="rect">
                      <a:avLst/>
                    </a:prstGeom>
                    <a:noFill/>
                  </pic:spPr>
                </pic:pic>
              </a:graphicData>
            </a:graphic>
          </wp:anchor>
        </w:drawing>
      </w: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24" w:right="519" w:bottom="1440" w:gutter="0" w:footer="0" w:header="0"/>
        </w:sectPr>
      </w:pPr>
    </w:p>
    <w:bookmarkStart w:id="126" w:name="page127"/>
    <w:bookmarkEnd w:id="126"/>
    <w:p>
      <w:pPr>
        <w:jc w:val="center"/>
        <w:ind w:right="-17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center"/>
              <w:ind w:right="273"/>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center"/>
              <w:ind w:right="253"/>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86"/>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center"/>
              <w:ind w:right="273"/>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center"/>
              <w:ind w:right="25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28"/>
        </w:trPr>
        <w:tc>
          <w:tcPr>
            <w:tcW w:w="7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96"/>
        </w:trPr>
        <w:tc>
          <w:tcPr>
            <w:tcW w:w="7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Reconciliation to amounts on the consolidated balance sheet:</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186,816</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220,383</w:t>
            </w:r>
          </w:p>
        </w:tc>
        <w:tc>
          <w:tcPr>
            <w:tcW w:w="0" w:type="dxa"/>
            <w:vAlign w:val="bottom"/>
          </w:tcPr>
          <w:p>
            <w:pPr>
              <w:spacing w:after="0"/>
              <w:rPr>
                <w:sz w:val="1"/>
                <w:szCs w:val="1"/>
                <w:color w:val="auto"/>
              </w:rPr>
            </w:pPr>
          </w:p>
        </w:tc>
      </w:tr>
      <w:tr>
        <w:trPr>
          <w:trHeight w:val="203"/>
        </w:trPr>
        <w:tc>
          <w:tcPr>
            <w:tcW w:w="74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164</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196"/>
        </w:trPr>
        <w:tc>
          <w:tcPr>
            <w:tcW w:w="7440" w:type="dxa"/>
            <w:vAlign w:val="bottom"/>
          </w:tcPr>
          <w:p>
            <w:pPr>
              <w:ind w:left="380"/>
              <w:spacing w:after="0" w:line="196" w:lineRule="exact"/>
              <w:rPr>
                <w:sz w:val="20"/>
                <w:szCs w:val="20"/>
                <w:color w:val="auto"/>
              </w:rPr>
            </w:pPr>
            <w:r>
              <w:rPr>
                <w:rFonts w:ascii="Arial" w:cs="Arial" w:eastAsia="Arial" w:hAnsi="Arial"/>
                <w:sz w:val="18"/>
                <w:szCs w:val="18"/>
                <w:color w:val="auto"/>
              </w:rPr>
              <w:t>Total cash, cash equivalents, and restricted cash</w:t>
            </w: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3"/>
              <w:spacing w:after="0" w:line="196" w:lineRule="exact"/>
              <w:rPr>
                <w:sz w:val="20"/>
                <w:szCs w:val="20"/>
                <w:color w:val="auto"/>
              </w:rPr>
            </w:pPr>
            <w:r>
              <w:rPr>
                <w:rFonts w:ascii="Arial" w:cs="Arial" w:eastAsia="Arial" w:hAnsi="Arial"/>
                <w:sz w:val="18"/>
                <w:szCs w:val="18"/>
                <w:color w:val="auto"/>
              </w:rPr>
              <w:t>186,980</w:t>
            </w:r>
          </w:p>
        </w:tc>
        <w:tc>
          <w:tcPr>
            <w:tcW w:w="4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3"/>
              <w:spacing w:after="0" w:line="196" w:lineRule="exact"/>
              <w:rPr>
                <w:sz w:val="20"/>
                <w:szCs w:val="20"/>
                <w:color w:val="auto"/>
              </w:rPr>
            </w:pPr>
            <w:r>
              <w:rPr>
                <w:rFonts w:ascii="Arial" w:cs="Arial" w:eastAsia="Arial" w:hAnsi="Arial"/>
                <w:sz w:val="18"/>
                <w:szCs w:val="18"/>
                <w:color w:val="auto"/>
              </w:rPr>
              <w:t>220,943</w:t>
            </w:r>
          </w:p>
        </w:tc>
        <w:tc>
          <w:tcPr>
            <w:tcW w:w="0" w:type="dxa"/>
            <w:vAlign w:val="bottom"/>
          </w:tcPr>
          <w:p>
            <w:pPr>
              <w:spacing w:after="0"/>
              <w:rPr>
                <w:sz w:val="1"/>
                <w:szCs w:val="1"/>
                <w:color w:val="auto"/>
              </w:rPr>
            </w:pPr>
          </w:p>
        </w:tc>
      </w:tr>
      <w:tr>
        <w:trPr>
          <w:trHeight w:val="196"/>
        </w:trPr>
        <w:tc>
          <w:tcPr>
            <w:tcW w:w="7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Supplemental disclosures of cash flow information:</w:t>
            </w:r>
          </w:p>
        </w:tc>
        <w:tc>
          <w:tcPr>
            <w:tcW w:w="26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Interest paid</w:t>
            </w: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taxes paid</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4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Supplemental disclosures of noncash financing and investing activities:</w:t>
            </w:r>
          </w:p>
        </w:tc>
        <w:tc>
          <w:tcPr>
            <w:tcW w:w="2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Leasehold improvement directly paid by landlord</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62"/>
        </w:trPr>
        <w:tc>
          <w:tcPr>
            <w:tcW w:w="7440" w:type="dxa"/>
            <w:vAlign w:val="bottom"/>
          </w:tcPr>
          <w:p>
            <w:pPr>
              <w:ind w:left="200"/>
              <w:spacing w:after="0" w:line="162" w:lineRule="exact"/>
              <w:rPr>
                <w:sz w:val="20"/>
                <w:szCs w:val="20"/>
                <w:color w:val="auto"/>
              </w:rPr>
            </w:pPr>
            <w:r>
              <w:rPr>
                <w:rFonts w:ascii="Arial" w:cs="Arial" w:eastAsia="Arial" w:hAnsi="Arial"/>
                <w:sz w:val="18"/>
                <w:szCs w:val="18"/>
                <w:color w:val="auto"/>
              </w:rPr>
              <w:t>Liability in connection to the issuance of redeemable convertible</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vMerge w:val="restart"/>
          </w:tcPr>
          <w:p>
            <w:pPr>
              <w:jc w:val="right"/>
              <w:ind w:right="13"/>
              <w:spacing w:after="0"/>
              <w:rPr>
                <w:sz w:val="20"/>
                <w:szCs w:val="20"/>
                <w:color w:val="auto"/>
              </w:rPr>
            </w:pPr>
            <w:r>
              <w:rPr>
                <w:rFonts w:ascii="Arial" w:cs="Arial" w:eastAsia="Arial" w:hAnsi="Arial"/>
                <w:sz w:val="18"/>
                <w:szCs w:val="18"/>
                <w:color w:val="auto"/>
              </w:rPr>
              <w:t>14,560</w:t>
            </w:r>
          </w:p>
        </w:tc>
        <w:tc>
          <w:tcPr>
            <w:tcW w:w="0" w:type="dxa"/>
            <w:vAlign w:val="bottom"/>
          </w:tcPr>
          <w:p>
            <w:pPr>
              <w:spacing w:after="0"/>
              <w:rPr>
                <w:sz w:val="1"/>
                <w:szCs w:val="1"/>
                <w:color w:val="auto"/>
              </w:rPr>
            </w:pP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preferred stock series B-1</w:t>
            </w:r>
          </w:p>
        </w:tc>
        <w:tc>
          <w:tcPr>
            <w:tcW w:w="26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Mark to market adjustments for available-for-sale investments</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(109 )</w:t>
            </w:r>
          </w:p>
        </w:tc>
        <w:tc>
          <w:tcPr>
            <w:tcW w:w="4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Equipment acquired through finance lease</w:t>
            </w: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284</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Vesting of early exercised options</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292</w:t>
            </w:r>
          </w:p>
        </w:tc>
        <w:tc>
          <w:tcPr>
            <w:tcW w:w="4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Acquisition of right-of-use asset through operating lease obligation</w:t>
            </w: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2,647</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PP&amp;E purchase still in accounts payable</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15</w:t>
            </w:r>
          </w:p>
        </w:tc>
        <w:tc>
          <w:tcPr>
            <w:tcW w:w="4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Change in pension obligation</w:t>
            </w: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749</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162"/>
        </w:trPr>
        <w:tc>
          <w:tcPr>
            <w:tcW w:w="74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Conversion of redeemable convertible preferred stock to common</w:t>
            </w:r>
          </w:p>
        </w:tc>
        <w:tc>
          <w:tcPr>
            <w:tcW w:w="26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vMerge w:val="restart"/>
            <w:shd w:val="clear" w:color="auto" w:fill="CFF0FC"/>
          </w:tcPr>
          <w:p>
            <w:pPr>
              <w:jc w:val="right"/>
              <w:ind w:right="13"/>
              <w:spacing w:after="0"/>
              <w:rPr>
                <w:sz w:val="20"/>
                <w:szCs w:val="20"/>
                <w:color w:val="auto"/>
              </w:rPr>
            </w:pPr>
            <w:r>
              <w:rPr>
                <w:rFonts w:ascii="Arial" w:cs="Arial" w:eastAsia="Arial" w:hAnsi="Arial"/>
                <w:sz w:val="18"/>
                <w:szCs w:val="18"/>
                <w:color w:val="auto"/>
              </w:rPr>
              <w:t>238,522</w:t>
            </w: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in connection with initial public offering</w:t>
            </w:r>
          </w:p>
        </w:tc>
        <w:tc>
          <w:tcPr>
            <w:tcW w:w="260" w:type="dxa"/>
            <w:vAlign w:val="bottom"/>
            <w:vMerge w:val="continue"/>
            <w:shd w:val="clear" w:color="auto" w:fill="CFF0FC"/>
          </w:tcPr>
          <w:p>
            <w:pPr>
              <w:spacing w:after="0"/>
              <w:rPr>
                <w:sz w:val="18"/>
                <w:szCs w:val="18"/>
                <w:color w:val="auto"/>
              </w:rPr>
            </w:pPr>
          </w:p>
        </w:tc>
        <w:tc>
          <w:tcPr>
            <w:tcW w:w="1480" w:type="dxa"/>
            <w:vAlign w:val="bottom"/>
            <w:vMerge w:val="continue"/>
            <w:shd w:val="clear" w:color="auto" w:fill="CFF0FC"/>
          </w:tcPr>
          <w:p>
            <w:pPr>
              <w:spacing w:after="0"/>
              <w:rPr>
                <w:sz w:val="18"/>
                <w:szCs w:val="18"/>
                <w:color w:val="auto"/>
              </w:rPr>
            </w:pPr>
          </w:p>
        </w:tc>
        <w:tc>
          <w:tcPr>
            <w:tcW w:w="420" w:type="dxa"/>
            <w:vAlign w:val="bottom"/>
            <w:gridSpan w:val="2"/>
            <w:vMerge w:val="continue"/>
            <w:shd w:val="clear" w:color="auto" w:fill="CFF0FC"/>
          </w:tcPr>
          <w:p>
            <w:pPr>
              <w:spacing w:after="0"/>
              <w:rPr>
                <w:sz w:val="18"/>
                <w:szCs w:val="18"/>
                <w:color w:val="auto"/>
              </w:rPr>
            </w:pPr>
          </w:p>
        </w:tc>
        <w:tc>
          <w:tcPr>
            <w:tcW w:w="146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0"/>
              <w:spacing w:after="0"/>
              <w:rPr>
                <w:sz w:val="20"/>
                <w:szCs w:val="20"/>
                <w:color w:val="auto"/>
              </w:rPr>
            </w:pPr>
            <w:r>
              <w:rPr>
                <w:rFonts w:ascii="Arial" w:cs="Arial" w:eastAsia="Arial" w:hAnsi="Arial"/>
                <w:sz w:val="18"/>
                <w:szCs w:val="18"/>
                <w:color w:val="auto"/>
              </w:rPr>
              <w:t>Change in fair value of derivative liability upon exercise of warrants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-2191385</wp:posOffset>
            </wp:positionV>
            <wp:extent cx="11176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-1659890</wp:posOffset>
            </wp:positionV>
            <wp:extent cx="11176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1760" cy="5715"/>
                    </a:xfrm>
                    <a:prstGeom prst="rect">
                      <a:avLst/>
                    </a:prstGeom>
                    <a:noFill/>
                  </pic:spPr>
                </pic:pic>
              </a:graphicData>
            </a:graphic>
          </wp:anchor>
        </w:drawing>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24" w:right="519" w:bottom="1440" w:gutter="0" w:footer="0" w:header="0"/>
        </w:sectPr>
      </w:pPr>
    </w:p>
    <w:bookmarkStart w:id="127" w:name="page128"/>
    <w:bookmarkEnd w:id="127"/>
    <w:p>
      <w:pPr>
        <w:jc w:val="center"/>
        <w:ind w:right="-59"/>
        <w:spacing w:after="0"/>
        <w:rPr>
          <w:sz w:val="20"/>
          <w:szCs w:val="20"/>
          <w:color w:val="auto"/>
        </w:rPr>
      </w:pPr>
      <w:r>
        <w:rPr>
          <w:rFonts w:ascii="Arial" w:cs="Arial" w:eastAsia="Arial" w:hAnsi="Arial"/>
          <w:sz w:val="18"/>
          <w:szCs w:val="18"/>
          <w:b w:val="1"/>
          <w:bCs w:val="1"/>
          <w:color w:val="auto"/>
        </w:rPr>
        <w:t>Aligos Therapeutics, Inc.</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i w:val="1"/>
          <w:iCs w:val="1"/>
          <w:color w:val="auto"/>
        </w:rPr>
        <w:t>Unless otherwise indicated, financial information except share and per share data, including dollar values stated in the text of the notes to financial statements, is expressed in dollars.</w:t>
      </w:r>
    </w:p>
    <w:p>
      <w:pPr>
        <w:spacing w:after="0" w:line="167" w:lineRule="exact"/>
        <w:rPr>
          <w:sz w:val="20"/>
          <w:szCs w:val="20"/>
          <w:color w:val="auto"/>
        </w:rPr>
      </w:pPr>
    </w:p>
    <w:p>
      <w:pPr>
        <w:ind w:right="9460" w:firstLine="8"/>
        <w:spacing w:after="0" w:line="434" w:lineRule="auto"/>
        <w:tabs>
          <w:tab w:leader="none" w:pos="180" w:val="left"/>
        </w:tabs>
        <w:numPr>
          <w:ilvl w:val="0"/>
          <w:numId w:val="5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Organization </w:t>
      </w:r>
      <w:r>
        <w:rPr>
          <w:rFonts w:ascii="Arial" w:cs="Arial" w:eastAsia="Arial" w:hAnsi="Arial"/>
          <w:sz w:val="15"/>
          <w:szCs w:val="15"/>
          <w:b w:val="1"/>
          <w:bCs w:val="1"/>
          <w:i w:val="1"/>
          <w:iCs w:val="1"/>
          <w:color w:val="auto"/>
        </w:rPr>
        <w:t>Description of business</w:t>
      </w:r>
    </w:p>
    <w:p>
      <w:pPr>
        <w:spacing w:after="0" w:line="1"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Aligos Therapeutics, Inc. (Aligos-US) was incorporated in the state of Delaware on February 5, 2018 (inception). On September 10, 2018, the Company formed Aligos Belgium BVBA (the Subsidiary or Aligos-Belgium). On March 30, 2020, the Company formed as a wholly owned subsidiary, Aligos Australia Pty LTD (Aligos-Australia), a proprietary limited company. On May 18, 2021, the Company formed as a wholly owned subsidiary, Aligos Therapeutics (Shanghai) Co. Ltd. (Aligos-Shanghai) and together with Aligos-US, Aligos-Belgium, and Aligos-Australia being the Company or Aligos.</w:t>
      </w:r>
    </w:p>
    <w:p>
      <w:pPr>
        <w:spacing w:after="0" w:line="47"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Aligos is a clinical-stage biopharmaceutical company developing novel therapeutics to address unmet medical needs in viral and liver diseases, including chronic hepatitis B and coronaviruses and therapeutics for nonalcoholic steatohepatitis (NASH).</w:t>
      </w:r>
    </w:p>
    <w:p>
      <w:pPr>
        <w:spacing w:after="0" w:line="63"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The Company is devoting substantially all of its efforts to the research and development of its drug candidates. The Company has not generated any product revenue to date. The Company is also subject to a number of risks similar to other companies in the biotechnology industry, including the uncertainty of success of its preclinical studies and clinical trials, regulatory approval of drug candidates, uncertainty of market acceptance of products, competition from substitute products and larger companies, the need to obtain additional financing, compliance with government regulations, protection of proprietary technology, dependence on third-parties, product liability, and dependence on key individuals.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04"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On October 8, 2020, the Company’s board of directors approved a 1-for-9.3197 reverse stock split (the Reverse Stock Split) of the Company’s common stock and redeemable convertible preferred stock to be consummated prior to the effectiveness of the Company’s planned initial public offering (IPO). The par value and authorized shares of the common stock and redeemable convertible preferred stock were not adjusted as a result of the reverse stock split. All issued and outstanding common stock, options to purchase common stock and per share amounts contained in the financial statements have been retroactively adjusted to give effect to the reverse stock split for all periods presented. The Company filed an amended and restated certificate of incorporation in Delaware on October 9, 2020 that automatically effectuated the Reverse Stock Split without any further action required.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04" w:lineRule="exact"/>
        <w:rPr>
          <w:sz w:val="20"/>
          <w:szCs w:val="20"/>
          <w:color w:val="auto"/>
        </w:rPr>
      </w:pPr>
    </w:p>
    <w:p>
      <w:pPr>
        <w:ind w:right="140" w:firstLine="749"/>
        <w:spacing w:after="0" w:line="207" w:lineRule="exact"/>
        <w:rPr>
          <w:sz w:val="20"/>
          <w:szCs w:val="20"/>
          <w:color w:val="auto"/>
        </w:rPr>
      </w:pPr>
      <w:r>
        <w:rPr>
          <w:rFonts w:ascii="Arial" w:cs="Arial" w:eastAsia="Arial" w:hAnsi="Arial"/>
          <w:sz w:val="18"/>
          <w:szCs w:val="18"/>
          <w:color w:val="auto"/>
        </w:rPr>
        <w:t>On October 20, 2020, the Company closed its IPO and issued 10,000,000 shares of its common stock at a public offering price of $15.00 per share for net proceeds of $135.4 million, after deducting underwriting discounts and commissions of $10.5 million and expenses of $4.1 million. In connection with the IPO, all shares of Series A redeemable convertible preferred stock (Series A), Series B-1 redeemable convertible preferred stock (Series B</w:t>
      </w:r>
      <w:r>
        <w:rPr>
          <w:rFonts w:ascii="MS PGothic" w:cs="MS PGothic" w:eastAsia="MS PGothic" w:hAnsi="MS PGothic"/>
          <w:sz w:val="18"/>
          <w:szCs w:val="18"/>
          <w:color w:val="auto"/>
        </w:rPr>
        <w:t>‑</w:t>
      </w:r>
      <w:r>
        <w:rPr>
          <w:rFonts w:ascii="Arial" w:cs="Arial" w:eastAsia="Arial" w:hAnsi="Arial"/>
          <w:sz w:val="18"/>
          <w:szCs w:val="18"/>
          <w:color w:val="auto"/>
        </w:rPr>
        <w:t>1) and Series B-2 redeemable convertible preferred stock (Series B-2) converted into 19,761,870 shares of voting common stock and 3,092,338 shares of non-voting common stock. On November 5, 2020, the underwriters of the IPO partially exercised their overallotment option by purchasing an additional 1,150,000 shares from the Company, resulting in an additional $16.0 million in net proceeds, after deducting underwriting discounts and commissions of $1.2 million.</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0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Company has incurred losses and negative cash flows from operations since its inception. As of December 31, 2021 and 2020, the Company has an accumulated deficit of approximately $303.1 million and $174.7 million, respectively. Management expects to continue to incur additional substantial losses in the foreseeable future as a result of expanded research and development activities.</w:t>
      </w:r>
    </w:p>
    <w:p>
      <w:pPr>
        <w:spacing w:after="0" w:line="7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As of December 31, 2021, the Company has unrestricted cash, cash equivalent and investments of approximately $205.8 million, which is available to fund future operations. The Company expects to continue to spend substantial amounts to continue the nonclinical and clinical development of its current and future programs. If the Company is able to gain marketing approval for drug candidates that are being developed, it will require significant additional amounts of cash in order to launch and commercialize such drug candidates. In addition, other unanticipated costs may arise. Because the design and outcome of the Company’s planned and anticipated clinical trials is highly uncertain, the Company cannot reasonably estimate the actual amounts necessary to successfully complete the development and commercialization of any drug candidate the Company may develop.</w:t>
      </w:r>
    </w:p>
    <w:p>
      <w:pPr>
        <w:spacing w:after="0" w:line="53"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The Company expects to finance its cash needs through a combination of public or private equity offerings, debt financings, collaborations, strategic alliances, licensing arrangements and other marketing or distribution arrangements. In addition, the Company may seek additional capital to take advantage of favorable market conditions or strategic opportunities even if the Company believes it has sufficient funds for its current or future operating plans. Based on the Company’s research and development plans, it is expected that the Company’s existing cash, cash equivalents and investments, will enable the Company to fund its operations for at least 12 months following the date the consolidated financial statements are issued. However, the Company’s operating plan may change as a result of many factors currently unknown, and the Company may need to seek additional funds sooner than planned. Moreover, it is particularly difficult to estimate with certainty the Company’s future expenses given the dynamic nature of its business, the COVID-19 pandemic and the macro-economic environment generally.</w:t>
      </w:r>
    </w:p>
    <w:p>
      <w:pPr>
        <w:spacing w:after="0" w:line="73" w:lineRule="exact"/>
        <w:rPr>
          <w:sz w:val="20"/>
          <w:szCs w:val="20"/>
          <w:color w:val="auto"/>
        </w:rPr>
      </w:pPr>
    </w:p>
    <w:p>
      <w:pPr>
        <w:ind w:right="140" w:firstLine="509"/>
        <w:spacing w:after="0" w:line="254" w:lineRule="auto"/>
        <w:rPr>
          <w:sz w:val="20"/>
          <w:szCs w:val="20"/>
          <w:color w:val="auto"/>
        </w:rPr>
      </w:pPr>
      <w:r>
        <w:rPr>
          <w:rFonts w:ascii="Arial" w:cs="Arial" w:eastAsia="Arial" w:hAnsi="Arial"/>
          <w:sz w:val="17"/>
          <w:szCs w:val="17"/>
          <w:color w:val="auto"/>
        </w:rPr>
        <w:t>The Company’s ability to raise additional funds will depend on financial, economic and other factors, many of which are beyond its control. In particular, the COVID-19 pandemic continues to rapidly evolve and has already resulted in a significant disruption of global financial markets. If the disruption persists or deepens, the Company could be unable to access additional capital, which could negatively affect its ability to consummate certain corporate development transactions or other important, beneficial or opportunistic investments. If additional funds are not available to the Company when needed, on terms that are acceptable to the Company, or at all, the Company may be required to: delay, limit, reduce or terminate nonclinical studies, clinical trials or other research and development activities or eliminate one or more of its development programs altogether; or delay, limit, reduce or terminate its efforts to establish manufacturing and sales and marketing capabilities or other activities that may be necessary to commercialize any future approved products, or reduce the Company’s flexibility in developing or maintaining its sales and marketing strategy.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08" w:lineRule="exact"/>
        <w:rPr>
          <w:sz w:val="20"/>
          <w:szCs w:val="20"/>
          <w:color w:val="auto"/>
        </w:rPr>
      </w:pPr>
    </w:p>
    <w:p>
      <w:pPr>
        <w:ind w:right="300" w:firstLine="554"/>
        <w:spacing w:after="0" w:line="261" w:lineRule="auto"/>
        <w:rPr>
          <w:sz w:val="20"/>
          <w:szCs w:val="20"/>
          <w:color w:val="auto"/>
        </w:rPr>
      </w:pPr>
      <w:r>
        <w:rPr>
          <w:rFonts w:ascii="Arial" w:cs="Arial" w:eastAsia="Arial" w:hAnsi="Arial"/>
          <w:sz w:val="18"/>
          <w:szCs w:val="18"/>
          <w:color w:val="auto"/>
        </w:rPr>
        <w:t>The accompanying consolidated financial statements have been prepared on a basis that contemplates the continuity of operations, realization of assets and the satisfaction of liabilities and commitments in the normal course of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04"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As a result, the Company is unable to predict the timing or amount of increased expenses or when or if the Company will be able to achieve or maintain profitability. Drug candidates currently under development will require significant additional research and development efforts, including extensive nonclinical and clinical testing and regulatory approval.</w:t>
      </w:r>
    </w:p>
    <w:p>
      <w:pPr>
        <w:spacing w:after="0" w:line="81"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Moreover, it is particularly difficult to estimate with certainty the Company’s future expenses given the dynamic nature of its business, the COVID-19 pandemic and the macro-economic environment generally.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(U.S. GAAP) and include all adjustments necessary for the fair presentation of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9" w:name="page130"/>
    <w:bookmarkEnd w:id="129"/>
    <w:p>
      <w:pPr>
        <w:spacing w:after="0" w:line="248" w:lineRule="auto"/>
        <w:rPr>
          <w:sz w:val="20"/>
          <w:szCs w:val="20"/>
          <w:color w:val="auto"/>
        </w:rPr>
      </w:pPr>
      <w:r>
        <w:rPr>
          <w:rFonts w:ascii="Arial" w:cs="Arial" w:eastAsia="Arial" w:hAnsi="Arial"/>
          <w:sz w:val="18"/>
          <w:szCs w:val="18"/>
          <w:color w:val="auto"/>
        </w:rPr>
        <w:t>Company’s financial position for the periods presented. Any reference in these notes to applicable accounting guidance is meant to refer to the authoritative U.S. GAAP included in the Accounting Standards Codification (ASC), and Accounting Standards Update (ASU) issued by the Financial Accounting Standards Board (FASB).</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4"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The accompanying consolidated financial statements include Aligos-US and its wholly owned subsidiaries Aligos-Belgium, Aligos-Australia and Aligos-Shanghai. All intercompany balances and transactions have been eliminated.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The preparation of the consolidated financial statements in conformity with U.S. GAAP generally requires management to make certain estimates and assumptions that affect the reported amounts in the consolidated financial statements and accompanying notes. The Company regularly evaluates estimates and assumptions related to assets and liabilities, at the dates of the consolidated financial statements and the reported amounts of expenses during the reporting period. Areas where management uses subjective judgments include, but are not limited to, right-of-use assets, lease obligations, impairment of long-lived assets, stock-based compensation, accrued research and development costs, revenue from collaborations, deferred revenue, redeemable convertible preferred stock liability and pension liabilities in the accompanying consolidated financial statements.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these estimates under different assumptions or conditions.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04" w:lineRule="exact"/>
        <w:rPr>
          <w:sz w:val="20"/>
          <w:szCs w:val="20"/>
          <w:color w:val="auto"/>
        </w:rPr>
      </w:pPr>
    </w:p>
    <w:p>
      <w:pPr>
        <w:ind w:right="200" w:firstLine="509"/>
        <w:spacing w:after="0" w:line="274"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in-process equity financings as deferred offering costs until such financings are consummated, including the Company’s July 2021 follow-on offering and issuance of 4,400,000 shares of the Company’s common stock at a price to the public of $19.00 per share for net proceeds of $77.7 million, after deducting underwriting discounts and commissions and estimated offering expenses payable by the Company. After consummation of the financing, these costs are recorded as a reduction of the proceeds received from the equity financing. If a planned equity financing is abandoned, the deferred offering costs are expensed immediately as a charge to operating expenses in the consolidated statements of operations and comprehensive loss. There were no deferred offering costs recorded within other assets on the Company’s consolidated balance sheets as at each of December 31, 2021 and 2020.</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04" w:lineRule="exact"/>
        <w:rPr>
          <w:sz w:val="20"/>
          <w:szCs w:val="20"/>
          <w:color w:val="auto"/>
        </w:rPr>
      </w:pPr>
    </w:p>
    <w:p>
      <w:pPr>
        <w:ind w:right="240" w:firstLine="509"/>
        <w:spacing w:after="0" w:line="259" w:lineRule="auto"/>
        <w:rPr>
          <w:sz w:val="20"/>
          <w:szCs w:val="20"/>
          <w:color w:val="auto"/>
        </w:rPr>
      </w:pPr>
      <w:r>
        <w:rPr>
          <w:rFonts w:ascii="Arial" w:cs="Arial" w:eastAsia="Arial" w:hAnsi="Arial"/>
          <w:sz w:val="17"/>
          <w:szCs w:val="17"/>
          <w:color w:val="auto"/>
        </w:rPr>
        <w:t>The Company’s foreign subsidiaries use the U.S. dollar as their functional currency, and they initially measure the foreign currency denominated assets and liabilities at the transaction date. Monetary assets and liabilities are then re-measured at exchange rates in effect at the end of each period, and non-monetary assets and liabilities are converted at historical rates. A re-measurement loss was recognized during the year ended December 31, 2021 of $6,000, and a re-measurement gain was recognized during the year ended December 31, 2020 of $121,000, and are reflected within interest and other income (expense), net on the consolidated statements of operations and comprehensive loss.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04" w:lineRule="exact"/>
        <w:rPr>
          <w:sz w:val="20"/>
          <w:szCs w:val="20"/>
          <w:color w:val="auto"/>
        </w:rPr>
      </w:pPr>
    </w:p>
    <w:p>
      <w:pPr>
        <w:jc w:val="both"/>
        <w:ind w:right="340" w:firstLine="509"/>
        <w:spacing w:after="0" w:line="294" w:lineRule="auto"/>
        <w:rPr>
          <w:sz w:val="20"/>
          <w:szCs w:val="20"/>
          <w:color w:val="auto"/>
        </w:rPr>
      </w:pPr>
      <w:r>
        <w:rPr>
          <w:rFonts w:ascii="Arial" w:cs="Arial" w:eastAsia="Arial" w:hAnsi="Arial"/>
          <w:sz w:val="16"/>
          <w:szCs w:val="16"/>
          <w:color w:val="auto"/>
        </w:rPr>
        <w:t>The Company has determined that the Chief Executive Officer is its Chief Operating Decision Maker. The Company’s Chief Executive Officer reviews financial information presented on a consolidated basis for the purposes of assessing the performance and making decisions on how to allocate resources. Accordingly, the Company has determined that it operates in a single reportable segment. No revenue has been generated since inception.</w:t>
      </w:r>
    </w:p>
    <w:p>
      <w:pPr>
        <w:spacing w:after="0" w:line="39" w:lineRule="exact"/>
        <w:rPr>
          <w:sz w:val="20"/>
          <w:szCs w:val="20"/>
          <w:color w:val="auto"/>
        </w:rPr>
      </w:pPr>
    </w:p>
    <w:p>
      <w:pPr>
        <w:ind w:right="160" w:firstLine="509"/>
        <w:spacing w:after="0" w:line="216" w:lineRule="exact"/>
        <w:rPr>
          <w:sz w:val="20"/>
          <w:szCs w:val="20"/>
          <w:color w:val="auto"/>
        </w:rPr>
      </w:pPr>
      <w:r>
        <w:rPr>
          <w:rFonts w:ascii="Arial" w:cs="Arial" w:eastAsia="Arial" w:hAnsi="Arial"/>
          <w:sz w:val="18"/>
          <w:szCs w:val="18"/>
          <w:color w:val="auto"/>
        </w:rPr>
        <w:t>The Company has $5.0 million and $1.2 million of fixed assets in Aligos-US and Aligos-Belgium, respectively, as of December 31, 2021 and $6.6 million and $1.4 million of fixed assets in Aligos-US and Aligos</w:t>
      </w:r>
      <w:r>
        <w:rPr>
          <w:rFonts w:ascii="MS PGothic" w:cs="MS PGothic" w:eastAsia="MS PGothic" w:hAnsi="MS PGothic"/>
          <w:sz w:val="18"/>
          <w:szCs w:val="18"/>
          <w:color w:val="auto"/>
        </w:rPr>
        <w:t>‑</w:t>
      </w:r>
      <w:r>
        <w:rPr>
          <w:rFonts w:ascii="Arial" w:cs="Arial" w:eastAsia="Arial" w:hAnsi="Arial"/>
          <w:sz w:val="18"/>
          <w:szCs w:val="18"/>
          <w:color w:val="auto"/>
        </w:rPr>
        <w:t>Belgium, respectively as of December 31, 2020.</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considers all highly liquid investments purchased with original maturities of 90 days or less at acquisition to be cash equivalents.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04" w:lineRule="exact"/>
        <w:rPr>
          <w:sz w:val="20"/>
          <w:szCs w:val="20"/>
          <w:color w:val="auto"/>
        </w:rPr>
      </w:pPr>
    </w:p>
    <w:p>
      <w:pPr>
        <w:jc w:val="both"/>
        <w:ind w:right="260" w:firstLine="509"/>
        <w:spacing w:after="0" w:line="248" w:lineRule="auto"/>
        <w:rPr>
          <w:sz w:val="20"/>
          <w:szCs w:val="20"/>
          <w:color w:val="auto"/>
        </w:rPr>
      </w:pPr>
      <w:r>
        <w:rPr>
          <w:rFonts w:ascii="Arial" w:cs="Arial" w:eastAsia="Arial" w:hAnsi="Arial"/>
          <w:sz w:val="18"/>
          <w:szCs w:val="18"/>
          <w:color w:val="auto"/>
        </w:rPr>
        <w:t>As of December 31, 2021 and 2020, the restricted cash balance was $0.2 million and $0.6 million, respectively, and was used primarily to secure letters of credit in relation to the Company’s operating leases and deposits on rental assets (Note 6), as well as employee withholdings for the employee stock purchase plan.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generally invests its excess cash in money market funds and investment grade short-to-intermediate-term fixed income securities.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Such investments are included in cash, cash equivalents, short-term and long-term investments on the consolidated Balance Sheets.</w:t>
      </w:r>
    </w:p>
    <w:p>
      <w:pPr>
        <w:spacing w:after="0" w:line="88"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The Company determines the appropriate classification of short-term and long-term securities at the time of purchase and re-evaluates such designation as of each balance sheet date. Securities are classified as held-to-maturity when the Company has the positive intent and ability to hold the securities to maturity, otherwise securities are classified as available-for sale. Held-to-maturity securities are carried at amortized cost. Available-for-sale debt securities are measured and reported at fair value using quoted prices in active markets for similar securities. Unrealized gains and losses on available-for-sale securities are reported as a separate component of stockholders’ equity. Premiums or discounts from par value are amortized to investment income over the life of the underlying investment. The cost of securities sold is determined on a specific identification basis, and realized gains and losses are included in interest and other income (expense), net within the consolidated statements of operations and comprehensive loss.</w:t>
      </w:r>
    </w:p>
    <w:p>
      <w:pPr>
        <w:spacing w:after="0" w:line="55"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For both held-to-maturity and available-for-sale investments, the Company periodically reviews each individual security position that has an unrealized loss, or impairment, to determine if that impairment is other-than-temporary. If the Company believes an impairment of a security position is other than temporary, based on available quantitative and qualitative information as of the report date, the loss will be recognized as other income (expense), net, in the Company’s consolidated statements of operations and a new cost basis in the investment is established. No impairment charges were recorded during the years ended December 31, 2021 and 2020.</w:t>
      </w:r>
    </w:p>
    <w:p>
      <w:pPr>
        <w:spacing w:after="0" w:line="81"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As of December 31, 2021 and 2020, investments consisted of Certificates of Deposit and U.S. Treasury securities, with original maturities of up to 1.50 years.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significant suppliers</w:t>
      </w:r>
    </w:p>
    <w:p>
      <w:pPr>
        <w:spacing w:after="0" w:line="10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restricted cash and investments. Periodically, the Company maintains deposits in accredited financial institutions in excess of federally insured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 The Company generally invests its excess capital in money market funds, U.S. treasury bonds, U.S. treasury bills and certificates of deposit that are subject to minimal credit and market risks.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is dependent on various third parties to manufacture compounds for the Company to conduct research and studies for its programs.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programs would be adversely delayed by a significant interruption in the supply of active pharmaceutical ingredients.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jc w:val="both"/>
        <w:ind w:right="360" w:firstLine="509"/>
        <w:spacing w:after="0" w:line="248" w:lineRule="auto"/>
        <w:rPr>
          <w:sz w:val="20"/>
          <w:szCs w:val="20"/>
          <w:color w:val="auto"/>
        </w:rPr>
      </w:pPr>
      <w:r>
        <w:rPr>
          <w:rFonts w:ascii="Arial" w:cs="Arial" w:eastAsia="Arial" w:hAnsi="Arial"/>
          <w:sz w:val="18"/>
          <w:szCs w:val="18"/>
          <w:color w:val="auto"/>
        </w:rPr>
        <w:t>The Company determines if an arrangement is a lease at the inception of the lease. Operating leases are included in operating lease right-of-use (ROU) assets and operating lease liabilities in the consolidated balance sheet. Finance leases are included in property and equipment and finance lease liabilities in the consolidated balance sheet.</w:t>
      </w:r>
    </w:p>
    <w:p>
      <w:pPr>
        <w:spacing w:after="0" w:line="74" w:lineRule="exact"/>
        <w:rPr>
          <w:sz w:val="20"/>
          <w:szCs w:val="20"/>
          <w:color w:val="auto"/>
        </w:rPr>
      </w:pPr>
    </w:p>
    <w:p>
      <w:pPr>
        <w:ind w:right="360" w:firstLine="509"/>
        <w:spacing w:after="0" w:line="248" w:lineRule="auto"/>
        <w:rPr>
          <w:sz w:val="20"/>
          <w:szCs w:val="20"/>
          <w:color w:val="auto"/>
        </w:rPr>
      </w:pPr>
      <w:r>
        <w:rPr>
          <w:rFonts w:ascii="Arial" w:cs="Arial" w:eastAsia="Arial" w:hAnsi="Arial"/>
          <w:sz w:val="18"/>
          <w:szCs w:val="18"/>
          <w:color w:val="auto"/>
        </w:rPr>
        <w:t>ROU assets represent the right to use an underlying asset for the lease term and lease liabilities represent the obligation to make lease payments arising from the lease. Operating lease ROU assets and liabilities are recognized at the lease commencement date based on the present value of lease payments over the lease term. When the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31" w:name="page132"/>
    <w:bookmarkEnd w:id="131"/>
    <w:p>
      <w:pPr>
        <w:ind w:right="120"/>
        <w:spacing w:after="0" w:line="259" w:lineRule="auto"/>
        <w:rPr>
          <w:sz w:val="20"/>
          <w:szCs w:val="20"/>
          <w:color w:val="auto"/>
        </w:rPr>
      </w:pPr>
      <w:r>
        <w:rPr>
          <w:rFonts w:ascii="Arial" w:cs="Arial" w:eastAsia="Arial" w:hAnsi="Arial"/>
          <w:sz w:val="17"/>
          <w:szCs w:val="17"/>
          <w:color w:val="auto"/>
        </w:rPr>
        <w:t>Company’s leases do not provide an implicit rate, an incremental borrowing rate is used based on the information available at the commencement dates in determining the present value of lease payments. The Company uses the implicit rate when readily determinable. The operating lease ROU assets also include any lease payments made and excludes lease incentives when paid by the Company or on the Company’s behalf. The Company’s lease terms may include the period covered by options to extend or terminate the lease when it is reasonably certain that the Company will exercise that option. Lease expense for operating leases is recognized on a straight-line basis over the lease term.</w:t>
      </w:r>
    </w:p>
    <w:p>
      <w:pPr>
        <w:spacing w:after="0" w:line="66"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Company has lease agreements with lease and non-lease components. The Company elected to not separate lease and non-lease components for all of its building leases. For vehicle leases, lease and non-lease components are accounted for separately. The Company also made an accounting policy election to recognize lease expense for leases with a term of 12 months or less on a straight-line basis over the lease term and not recognize ROU assets or lease liabilities for such leases.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04"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Property and equipment is stated at cost less accumulated depreciation, and is depreciated using the straight-line method over the estimated useful life of the asset, which are as follows:</w:t>
      </w:r>
    </w:p>
    <w:p>
      <w:pPr>
        <w:spacing w:after="0" w:line="208"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3340" w:type="dxa"/>
            <w:vAlign w:val="bottom"/>
            <w:shd w:val="clear" w:color="auto" w:fill="CFF0FC"/>
          </w:tcPr>
          <w:p>
            <w:pPr>
              <w:ind w:left="1140"/>
              <w:spacing w:after="0"/>
              <w:rPr>
                <w:sz w:val="20"/>
                <w:szCs w:val="20"/>
                <w:color w:val="auto"/>
              </w:rPr>
            </w:pPr>
            <w:r>
              <w:rPr>
                <w:rFonts w:ascii="Arial" w:cs="Arial" w:eastAsia="Arial" w:hAnsi="Arial"/>
                <w:sz w:val="18"/>
                <w:szCs w:val="18"/>
                <w:color w:val="auto"/>
              </w:rPr>
              <w:t>3 years</w:t>
            </w: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Computer equipment</w:t>
            </w:r>
          </w:p>
        </w:tc>
        <w:tc>
          <w:tcPr>
            <w:tcW w:w="3340" w:type="dxa"/>
            <w:vAlign w:val="bottom"/>
          </w:tcPr>
          <w:p>
            <w:pPr>
              <w:ind w:left="1140"/>
              <w:spacing w:after="0" w:line="202" w:lineRule="exact"/>
              <w:rPr>
                <w:sz w:val="20"/>
                <w:szCs w:val="20"/>
                <w:color w:val="auto"/>
              </w:rPr>
            </w:pPr>
            <w:r>
              <w:rPr>
                <w:rFonts w:ascii="Arial" w:cs="Arial" w:eastAsia="Arial" w:hAnsi="Arial"/>
                <w:sz w:val="18"/>
                <w:szCs w:val="18"/>
                <w:color w:val="auto"/>
              </w:rPr>
              <w:t>3 years</w:t>
            </w:r>
          </w:p>
        </w:tc>
      </w:tr>
      <w:tr>
        <w:trPr>
          <w:trHeight w:val="203"/>
        </w:trPr>
        <w:tc>
          <w:tcPr>
            <w:tcW w:w="3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Furniture and office equipment</w:t>
            </w:r>
          </w:p>
        </w:tc>
        <w:tc>
          <w:tcPr>
            <w:tcW w:w="3340" w:type="dxa"/>
            <w:vAlign w:val="bottom"/>
            <w:shd w:val="clear" w:color="auto" w:fill="CFF0FC"/>
          </w:tcPr>
          <w:p>
            <w:pPr>
              <w:ind w:left="1140"/>
              <w:spacing w:after="0" w:line="202" w:lineRule="exact"/>
              <w:rPr>
                <w:sz w:val="20"/>
                <w:szCs w:val="20"/>
                <w:color w:val="auto"/>
              </w:rPr>
            </w:pPr>
            <w:r>
              <w:rPr>
                <w:rFonts w:ascii="Arial" w:cs="Arial" w:eastAsia="Arial" w:hAnsi="Arial"/>
                <w:sz w:val="18"/>
                <w:szCs w:val="18"/>
                <w:color w:val="auto"/>
              </w:rPr>
              <w:t>3-8 years</w:t>
            </w: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Vehicles</w:t>
            </w:r>
          </w:p>
        </w:tc>
        <w:tc>
          <w:tcPr>
            <w:tcW w:w="3340" w:type="dxa"/>
            <w:vAlign w:val="bottom"/>
          </w:tcPr>
          <w:p>
            <w:pPr>
              <w:ind w:left="1140"/>
              <w:spacing w:after="0" w:line="202" w:lineRule="exact"/>
              <w:rPr>
                <w:sz w:val="20"/>
                <w:szCs w:val="20"/>
                <w:color w:val="auto"/>
              </w:rPr>
            </w:pPr>
            <w:r>
              <w:rPr>
                <w:rFonts w:ascii="Arial" w:cs="Arial" w:eastAsia="Arial" w:hAnsi="Arial"/>
                <w:sz w:val="18"/>
                <w:szCs w:val="18"/>
                <w:color w:val="auto"/>
              </w:rPr>
              <w:t>4 years</w:t>
            </w:r>
          </w:p>
        </w:tc>
      </w:tr>
      <w:tr>
        <w:trPr>
          <w:trHeight w:val="162"/>
        </w:trPr>
        <w:tc>
          <w:tcPr>
            <w:tcW w:w="340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Leasehold improvements</w:t>
            </w:r>
          </w:p>
        </w:tc>
        <w:tc>
          <w:tcPr>
            <w:tcW w:w="3340" w:type="dxa"/>
            <w:vAlign w:val="bottom"/>
            <w:shd w:val="clear" w:color="auto" w:fill="CFF0FC"/>
          </w:tcPr>
          <w:p>
            <w:pPr>
              <w:ind w:left="1140"/>
              <w:spacing w:after="0" w:line="162" w:lineRule="exact"/>
              <w:rPr>
                <w:sz w:val="20"/>
                <w:szCs w:val="20"/>
                <w:color w:val="auto"/>
              </w:rPr>
            </w:pPr>
            <w:r>
              <w:rPr>
                <w:rFonts w:ascii="Arial" w:cs="Arial" w:eastAsia="Arial" w:hAnsi="Arial"/>
                <w:sz w:val="18"/>
                <w:szCs w:val="18"/>
                <w:color w:val="auto"/>
              </w:rPr>
              <w:t>Shorter of</w:t>
            </w:r>
          </w:p>
        </w:tc>
      </w:tr>
      <w:tr>
        <w:trPr>
          <w:trHeight w:val="176"/>
        </w:trPr>
        <w:tc>
          <w:tcPr>
            <w:tcW w:w="3400" w:type="dxa"/>
            <w:vAlign w:val="bottom"/>
            <w:shd w:val="clear" w:color="auto" w:fill="CFF0FC"/>
          </w:tcPr>
          <w:p>
            <w:pPr>
              <w:spacing w:after="0"/>
              <w:rPr>
                <w:sz w:val="15"/>
                <w:szCs w:val="15"/>
                <w:color w:val="auto"/>
              </w:rPr>
            </w:pPr>
          </w:p>
        </w:tc>
        <w:tc>
          <w:tcPr>
            <w:tcW w:w="3340" w:type="dxa"/>
            <w:vAlign w:val="bottom"/>
            <w:shd w:val="clear" w:color="auto" w:fill="CFF0FC"/>
          </w:tcPr>
          <w:p>
            <w:pPr>
              <w:ind w:left="1140"/>
              <w:spacing w:after="0" w:line="176" w:lineRule="exact"/>
              <w:rPr>
                <w:sz w:val="20"/>
                <w:szCs w:val="20"/>
                <w:color w:val="auto"/>
              </w:rPr>
            </w:pPr>
            <w:r>
              <w:rPr>
                <w:rFonts w:ascii="Arial" w:cs="Arial" w:eastAsia="Arial" w:hAnsi="Arial"/>
                <w:sz w:val="18"/>
                <w:szCs w:val="18"/>
                <w:color w:val="auto"/>
              </w:rPr>
              <w:t>the useful</w:t>
            </w:r>
          </w:p>
        </w:tc>
      </w:tr>
      <w:tr>
        <w:trPr>
          <w:trHeight w:val="175"/>
        </w:trPr>
        <w:tc>
          <w:tcPr>
            <w:tcW w:w="3400" w:type="dxa"/>
            <w:vAlign w:val="bottom"/>
            <w:shd w:val="clear" w:color="auto" w:fill="CFF0FC"/>
          </w:tcPr>
          <w:p>
            <w:pPr>
              <w:spacing w:after="0"/>
              <w:rPr>
                <w:sz w:val="15"/>
                <w:szCs w:val="15"/>
                <w:color w:val="auto"/>
              </w:rPr>
            </w:pPr>
          </w:p>
        </w:tc>
        <w:tc>
          <w:tcPr>
            <w:tcW w:w="3340" w:type="dxa"/>
            <w:vAlign w:val="bottom"/>
            <w:shd w:val="clear" w:color="auto" w:fill="CFF0FC"/>
          </w:tcPr>
          <w:p>
            <w:pPr>
              <w:ind w:left="1140"/>
              <w:spacing w:after="0" w:line="176" w:lineRule="exact"/>
              <w:rPr>
                <w:sz w:val="20"/>
                <w:szCs w:val="20"/>
                <w:color w:val="auto"/>
              </w:rPr>
            </w:pPr>
            <w:r>
              <w:rPr>
                <w:rFonts w:ascii="Arial" w:cs="Arial" w:eastAsia="Arial" w:hAnsi="Arial"/>
                <w:sz w:val="18"/>
                <w:szCs w:val="18"/>
                <w:color w:val="auto"/>
              </w:rPr>
              <w:t>life or</w:t>
            </w:r>
          </w:p>
        </w:tc>
      </w:tr>
      <w:tr>
        <w:trPr>
          <w:trHeight w:val="176"/>
        </w:trPr>
        <w:tc>
          <w:tcPr>
            <w:tcW w:w="3400" w:type="dxa"/>
            <w:vAlign w:val="bottom"/>
            <w:shd w:val="clear" w:color="auto" w:fill="CFF0FC"/>
          </w:tcPr>
          <w:p>
            <w:pPr>
              <w:spacing w:after="0"/>
              <w:rPr>
                <w:sz w:val="15"/>
                <w:szCs w:val="15"/>
                <w:color w:val="auto"/>
              </w:rPr>
            </w:pPr>
          </w:p>
        </w:tc>
        <w:tc>
          <w:tcPr>
            <w:tcW w:w="3340" w:type="dxa"/>
            <w:vAlign w:val="bottom"/>
            <w:shd w:val="clear" w:color="auto" w:fill="CFF0FC"/>
          </w:tcPr>
          <w:p>
            <w:pPr>
              <w:ind w:left="1140"/>
              <w:spacing w:after="0" w:line="176" w:lineRule="exact"/>
              <w:rPr>
                <w:sz w:val="20"/>
                <w:szCs w:val="20"/>
                <w:color w:val="auto"/>
              </w:rPr>
            </w:pPr>
            <w:r>
              <w:rPr>
                <w:rFonts w:ascii="Arial" w:cs="Arial" w:eastAsia="Arial" w:hAnsi="Arial"/>
                <w:sz w:val="18"/>
                <w:szCs w:val="18"/>
                <w:color w:val="auto"/>
              </w:rPr>
              <w:t>remaining</w:t>
            </w:r>
          </w:p>
        </w:tc>
      </w:tr>
      <w:tr>
        <w:trPr>
          <w:trHeight w:val="216"/>
        </w:trPr>
        <w:tc>
          <w:tcPr>
            <w:tcW w:w="3400" w:type="dxa"/>
            <w:vAlign w:val="bottom"/>
            <w:shd w:val="clear" w:color="auto" w:fill="CFF0FC"/>
          </w:tcPr>
          <w:p>
            <w:pPr>
              <w:spacing w:after="0"/>
              <w:rPr>
                <w:sz w:val="18"/>
                <w:szCs w:val="18"/>
                <w:color w:val="auto"/>
              </w:rPr>
            </w:pPr>
          </w:p>
        </w:tc>
        <w:tc>
          <w:tcPr>
            <w:tcW w:w="3340" w:type="dxa"/>
            <w:vAlign w:val="bottom"/>
            <w:shd w:val="clear" w:color="auto" w:fill="CFF0FC"/>
          </w:tcPr>
          <w:p>
            <w:pPr>
              <w:ind w:left="1140"/>
              <w:spacing w:after="0"/>
              <w:rPr>
                <w:sz w:val="20"/>
                <w:szCs w:val="20"/>
                <w:color w:val="auto"/>
              </w:rPr>
            </w:pPr>
            <w:r>
              <w:rPr>
                <w:rFonts w:ascii="Arial" w:cs="Arial" w:eastAsia="Arial" w:hAnsi="Arial"/>
                <w:sz w:val="18"/>
                <w:szCs w:val="18"/>
                <w:color w:val="auto"/>
              </w:rPr>
              <w:t>lease term</w:t>
            </w:r>
          </w:p>
        </w:tc>
      </w:tr>
    </w:tbl>
    <w:p>
      <w:pPr>
        <w:spacing w:after="0" w:line="337" w:lineRule="exact"/>
        <w:rPr>
          <w:sz w:val="20"/>
          <w:szCs w:val="20"/>
          <w:color w:val="auto"/>
        </w:rPr>
      </w:pPr>
    </w:p>
    <w:p>
      <w:pPr>
        <w:ind w:right="280" w:firstLine="509"/>
        <w:spacing w:after="0" w:line="291" w:lineRule="auto"/>
        <w:rPr>
          <w:sz w:val="20"/>
          <w:szCs w:val="20"/>
          <w:color w:val="auto"/>
        </w:rPr>
      </w:pPr>
      <w:r>
        <w:rPr>
          <w:rFonts w:ascii="Arial" w:cs="Arial" w:eastAsia="Arial" w:hAnsi="Arial"/>
          <w:sz w:val="17"/>
          <w:szCs w:val="17"/>
          <w:color w:val="auto"/>
        </w:rPr>
        <w:t>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Company regularly reviews the carrying amount of its property, equipment and intangible assets to determine whether indicators of impairment may exist which warrant adjustments to carrying values or estimated useful lives. If indications of impairment exist, projected future undiscounted cash flows associated with the asset are compared to the carrying amount to determine whether the asset’s value is recoverable. If the carrying value of the asset exceeds such projected undiscounted cash flows, the asset will be written down to its estimated fair value. No impairment charges were recorded during the years ended December 31, 2021 or 2020.</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40" w:firstLine="509"/>
        <w:spacing w:after="0" w:line="294" w:lineRule="auto"/>
        <w:rPr>
          <w:sz w:val="20"/>
          <w:szCs w:val="20"/>
          <w:color w:val="auto"/>
        </w:rPr>
      </w:pPr>
      <w:r>
        <w:rPr>
          <w:rFonts w:ascii="Arial" w:cs="Arial" w:eastAsia="Arial" w:hAnsi="Arial"/>
          <w:sz w:val="16"/>
          <w:szCs w:val="16"/>
          <w:color w:val="auto"/>
        </w:rPr>
        <w:t>Research and development costs are expensed as incurred. Research and development expenses consist of costs incurred in performing research and development activities, including salaries, stock-based compensation and benefits, facilities costs, depreciation, and third-party license fees. Non-refundable prepayments for goods or services that will be used or rendered for future research and development activities are deferred and capitalized.</w:t>
      </w:r>
    </w:p>
    <w:p>
      <w:pPr>
        <w:spacing w:after="0" w:line="39" w:lineRule="exact"/>
        <w:rPr>
          <w:sz w:val="20"/>
          <w:szCs w:val="20"/>
          <w:color w:val="auto"/>
        </w:rPr>
      </w:pPr>
    </w:p>
    <w:p>
      <w:pPr>
        <w:ind w:right="340" w:firstLine="509"/>
        <w:spacing w:after="0" w:line="248" w:lineRule="auto"/>
        <w:rPr>
          <w:sz w:val="20"/>
          <w:szCs w:val="20"/>
          <w:color w:val="auto"/>
        </w:rPr>
      </w:pPr>
      <w:r>
        <w:rPr>
          <w:rFonts w:ascii="Arial" w:cs="Arial" w:eastAsia="Arial" w:hAnsi="Arial"/>
          <w:sz w:val="18"/>
          <w:szCs w:val="18"/>
          <w:color w:val="auto"/>
        </w:rPr>
        <w:t>In-process research and development (IPR&amp;D) expense represents the costs to acquire technologies to be used in research and development that have not reached technological feasibility or have no alternative future uses and thus are expensed as incurred. IPR&amp;D expense also includes upfront license fees and milestones paid to collaborators for technologies with no alternative use.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Collaborative arrangements</w:t>
      </w:r>
    </w:p>
    <w:p>
      <w:pPr>
        <w:spacing w:after="0" w:line="104"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The Company enters into collaboration arrangements with pharmaceutical and other partners, under which the Company may grant licenses to its collaboration partners to research and develop potential drug candidates. Consideration under these contracts may include an upfront payment, development, regulatory, sales and other</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32" w:name="page133"/>
    <w:bookmarkEnd w:id="132"/>
    <w:p>
      <w:pPr>
        <w:ind w:right="300"/>
        <w:spacing w:after="0" w:line="261" w:lineRule="auto"/>
        <w:rPr>
          <w:sz w:val="20"/>
          <w:szCs w:val="20"/>
          <w:color w:val="auto"/>
        </w:rPr>
      </w:pPr>
      <w:r>
        <w:rPr>
          <w:rFonts w:ascii="Arial" w:cs="Arial" w:eastAsia="Arial" w:hAnsi="Arial"/>
          <w:sz w:val="18"/>
          <w:szCs w:val="18"/>
          <w:color w:val="auto"/>
        </w:rPr>
        <w:t>milestone payments. Contractual payments received for research and development activities performed are recognized on a gross basis in revenue from collaboration arrangements.</w:t>
      </w:r>
    </w:p>
    <w:p>
      <w:pPr>
        <w:spacing w:after="0" w:line="63" w:lineRule="exact"/>
        <w:rPr>
          <w:sz w:val="20"/>
          <w:szCs w:val="20"/>
          <w:color w:val="auto"/>
        </w:rPr>
      </w:pPr>
    </w:p>
    <w:p>
      <w:pPr>
        <w:jc w:val="both"/>
        <w:ind w:right="500" w:firstLine="509"/>
        <w:spacing w:after="0" w:line="270" w:lineRule="auto"/>
        <w:rPr>
          <w:sz w:val="20"/>
          <w:szCs w:val="20"/>
          <w:color w:val="auto"/>
        </w:rPr>
      </w:pPr>
      <w:r>
        <w:rPr>
          <w:rFonts w:ascii="Arial" w:cs="Arial" w:eastAsia="Arial" w:hAnsi="Arial"/>
          <w:sz w:val="17"/>
          <w:szCs w:val="17"/>
          <w:color w:val="auto"/>
        </w:rPr>
        <w:t>The Company may also perform research and development activities under the collaboration agreements where the Company may be granted licenses from its collaboration partners. Contractual payments to the other party in collaboration agreements and costs incurred by the Company are recognized on a gross basis in research and development expenses. Royalties and license payments are recorded as due.</w:t>
      </w:r>
    </w:p>
    <w:p>
      <w:pPr>
        <w:spacing w:after="0" w:line="56"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 xml:space="preserve">When the Company enters into collaboration arrangements, the Company assesses whether the arrangement falls within the scope of ASC 808, </w:t>
      </w:r>
      <w:r>
        <w:rPr>
          <w:rFonts w:ascii="Arial" w:cs="Arial" w:eastAsia="Arial" w:hAnsi="Arial"/>
          <w:sz w:val="18"/>
          <w:szCs w:val="18"/>
          <w:i w:val="1"/>
          <w:iCs w:val="1"/>
          <w:color w:val="auto"/>
        </w:rPr>
        <w:t xml:space="preserve">Collaborative Arrangements </w:t>
      </w:r>
      <w:r>
        <w:rPr>
          <w:rFonts w:ascii="Arial" w:cs="Arial" w:eastAsia="Arial" w:hAnsi="Arial"/>
          <w:sz w:val="18"/>
          <w:szCs w:val="18"/>
          <w:color w:val="auto"/>
        </w:rPr>
        <w:t>(ASC 808) based on whether the arrangement involves joint operating activities and whether both parties would be active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participants and would be exposed to significant risks and rewards of the arrangement. To the extent that the arrangement falls within the scope of ASC 808, the Company assesses whether the payments between the parties fall within the scope of other accounting literature such as ASC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(ASC 606).</w:t>
      </w:r>
    </w:p>
    <w:p>
      <w:pPr>
        <w:spacing w:after="0" w:line="81" w:lineRule="exact"/>
        <w:rPr>
          <w:sz w:val="20"/>
          <w:szCs w:val="20"/>
          <w:color w:val="auto"/>
        </w:rPr>
      </w:pPr>
    </w:p>
    <w:p>
      <w:pPr>
        <w:ind w:firstLine="509"/>
        <w:spacing w:after="0" w:line="273" w:lineRule="auto"/>
        <w:rPr>
          <w:sz w:val="20"/>
          <w:szCs w:val="20"/>
          <w:color w:val="auto"/>
        </w:rPr>
      </w:pPr>
      <w:r>
        <w:rPr>
          <w:rFonts w:ascii="Arial" w:cs="Arial" w:eastAsia="Arial" w:hAnsi="Arial"/>
          <w:sz w:val="16"/>
          <w:szCs w:val="16"/>
          <w:color w:val="auto"/>
        </w:rPr>
        <w:t>During the year ended December 31, 2021, the Company made a milestone payment of $0.5 million. No royalties were due; therefore, the Company did not pay or expense any royalties. During the year ended December 31, 2020, a development milestone was met as the first patient dosing occurred and so the Company made a payment of $4.5 million. The milestone payments were included in research and development in the consolidated statement of operations. The upfront payment received during the year ended December 31, 2020 was recorded on the consolidated balance sheet as deferred revenue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from collaborations.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4" w:lineRule="exact"/>
        <w:rPr>
          <w:sz w:val="20"/>
          <w:szCs w:val="20"/>
          <w:color w:val="auto"/>
        </w:rPr>
      </w:pPr>
    </w:p>
    <w:p>
      <w:pPr>
        <w:ind w:right="240" w:firstLine="509"/>
        <w:spacing w:after="0" w:line="279"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04" w:lineRule="exact"/>
        <w:rPr>
          <w:sz w:val="20"/>
          <w:szCs w:val="20"/>
          <w:color w:val="auto"/>
        </w:rPr>
      </w:pPr>
    </w:p>
    <w:p>
      <w:pPr>
        <w:ind w:left="520" w:right="60"/>
        <w:spacing w:after="0" w:line="248"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Level 1 quoted prices), such as quoted prices in active markets for similar assets or liabilities,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in markets that are not active for identical or similar assets or liabilities, or other inputs that are observable or can be corroborated by observable market data.</w:t>
      </w:r>
    </w:p>
    <w:p>
      <w:pPr>
        <w:spacing w:after="0" w:line="74" w:lineRule="exact"/>
        <w:rPr>
          <w:sz w:val="20"/>
          <w:szCs w:val="20"/>
          <w:color w:val="auto"/>
        </w:rPr>
      </w:pPr>
    </w:p>
    <w:p>
      <w:pPr>
        <w:ind w:left="520" w:right="420"/>
        <w:spacing w:after="0" w:line="261"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activity that are significant to determining the fair value of the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including pricing models, discounted cash flow methodologies and similar techniques.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260" w:firstLine="509"/>
        <w:spacing w:after="0" w:line="284" w:lineRule="auto"/>
        <w:rPr>
          <w:sz w:val="20"/>
          <w:szCs w:val="20"/>
          <w:color w:val="auto"/>
        </w:rPr>
      </w:pPr>
      <w:r>
        <w:rPr>
          <w:rFonts w:ascii="Arial" w:cs="Arial" w:eastAsia="Arial" w:hAnsi="Arial"/>
          <w:sz w:val="16"/>
          <w:szCs w:val="16"/>
          <w:color w:val="auto"/>
        </w:rPr>
        <w:t>The Company’s stock-based awards consist of restricted stock awards and stock options. For stock-based awards issued to employees and nonemployees, the Company measures the estimated fair value of the stock-based awards on the date of grant and recognizes compensation expense for those awards over the requisite service period, which is generally the vesting period of the respective awards. The Company records expense for awards with service-based vesting using the straight-line method. The Company accounts for forfeitures as they occur.</w:t>
      </w:r>
    </w:p>
    <w:p>
      <w:pPr>
        <w:spacing w:after="0" w:line="155"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63"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fair value of each restricted stock award is determined based on the number of shares granted and the value of the Company’s common stock on the date of grant. The fair value of each stock option award is estimated on the date of grant using the Black-Scholes option pricing model. The Black-Scholes option-pricing model requires the use of a number of assumptions including the fair value of the common stock, expected volatility, risk-free interest rate, expected dividends, and expected term of the option.</w:t>
      </w:r>
    </w:p>
    <w:p>
      <w:pPr>
        <w:spacing w:after="0" w:line="80" w:lineRule="exact"/>
        <w:rPr>
          <w:sz w:val="20"/>
          <w:szCs w:val="20"/>
          <w:color w:val="auto"/>
        </w:rPr>
      </w:pPr>
    </w:p>
    <w:p>
      <w:pPr>
        <w:jc w:val="both"/>
        <w:ind w:right="120" w:firstLine="509"/>
        <w:spacing w:after="0" w:line="248" w:lineRule="auto"/>
        <w:rPr>
          <w:sz w:val="20"/>
          <w:szCs w:val="20"/>
          <w:color w:val="auto"/>
        </w:rPr>
      </w:pPr>
      <w:r>
        <w:rPr>
          <w:rFonts w:ascii="Arial" w:cs="Arial" w:eastAsia="Arial" w:hAnsi="Arial"/>
          <w:sz w:val="18"/>
          <w:szCs w:val="18"/>
          <w:color w:val="auto"/>
        </w:rPr>
        <w:t>The Company determined the expected stock volatility using a weighted-average of the historical volatility of a group of guideline companies that issued options with substantially similar terms, and expects to continue to do so until such time as the Company has adequate historical data regarding the volatility of its own traded stock price.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33" w:name="page134"/>
    <w:bookmarkEnd w:id="133"/>
    <w:p>
      <w:pPr>
        <w:ind w:right="140"/>
        <w:spacing w:after="0" w:line="243" w:lineRule="auto"/>
        <w:rPr>
          <w:sz w:val="20"/>
          <w:szCs w:val="20"/>
          <w:color w:val="auto"/>
        </w:rPr>
      </w:pPr>
      <w:r>
        <w:rPr>
          <w:rFonts w:ascii="Arial" w:cs="Arial" w:eastAsia="Arial" w:hAnsi="Arial"/>
          <w:sz w:val="18"/>
          <w:szCs w:val="18"/>
          <w:color w:val="auto"/>
        </w:rPr>
        <w:t>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80"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fair value of the Company’s 2020 Employee Stock Purchase Plan (the ESPP) is determined on the date the offering period begins using a Black-Scholes option-pricing model and similar assumptions for stock options as described above.</w:t>
      </w:r>
    </w:p>
    <w:p>
      <w:pPr>
        <w:spacing w:after="0" w:line="63" w:lineRule="exact"/>
        <w:rPr>
          <w:sz w:val="20"/>
          <w:szCs w:val="20"/>
          <w:color w:val="auto"/>
        </w:rPr>
      </w:pPr>
    </w:p>
    <w:p>
      <w:pPr>
        <w:ind w:right="140" w:firstLine="509"/>
        <w:spacing w:after="0" w:line="291" w:lineRule="auto"/>
        <w:rPr>
          <w:sz w:val="20"/>
          <w:szCs w:val="20"/>
          <w:color w:val="auto"/>
        </w:rPr>
      </w:pPr>
      <w:r>
        <w:rPr>
          <w:rFonts w:ascii="Arial" w:cs="Arial" w:eastAsia="Arial" w:hAnsi="Arial"/>
          <w:sz w:val="17"/>
          <w:szCs w:val="17"/>
          <w:color w:val="auto"/>
        </w:rPr>
        <w:t>See Note 9 for the assumptions used by the Company in determining the grant date fair value of stock-based awards granted, as well as a summary of the stock-based award activity under the Company’s stock-based compensation plan for years ended December 31, 2021 and 2020.</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w:t>
      </w:r>
    </w:p>
    <w:p>
      <w:pPr>
        <w:spacing w:after="0" w:line="81" w:lineRule="exact"/>
        <w:rPr>
          <w:sz w:val="20"/>
          <w:szCs w:val="20"/>
          <w:color w:val="auto"/>
        </w:rPr>
      </w:pPr>
    </w:p>
    <w:p>
      <w:pPr>
        <w:ind w:right="380" w:firstLine="509"/>
        <w:spacing w:after="0" w:line="243" w:lineRule="auto"/>
        <w:rPr>
          <w:sz w:val="20"/>
          <w:szCs w:val="20"/>
          <w:color w:val="auto"/>
        </w:rPr>
      </w:pPr>
      <w:r>
        <w:rPr>
          <w:rFonts w:ascii="Arial" w:cs="Arial" w:eastAsia="Arial" w:hAnsi="Arial"/>
          <w:sz w:val="18"/>
          <w:szCs w:val="18"/>
          <w:color w:val="auto"/>
        </w:rPr>
        <w:t>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interest and penalties.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04" w:lineRule="exact"/>
        <w:rPr>
          <w:sz w:val="20"/>
          <w:szCs w:val="20"/>
          <w:color w:val="auto"/>
        </w:rPr>
      </w:pPr>
    </w:p>
    <w:p>
      <w:pPr>
        <w:ind w:right="500" w:firstLine="509"/>
        <w:spacing w:after="0" w:line="324" w:lineRule="auto"/>
        <w:rPr>
          <w:sz w:val="20"/>
          <w:szCs w:val="20"/>
          <w:color w:val="auto"/>
        </w:rPr>
      </w:pPr>
      <w:r>
        <w:rPr>
          <w:rFonts w:ascii="Arial" w:cs="Arial" w:eastAsia="Arial" w:hAnsi="Arial"/>
          <w:sz w:val="16"/>
          <w:szCs w:val="16"/>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16"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redeemable convertible preferred stock, stock options, common stock subject to repurchase related to early exercise of stock options, unvested restricted stock subject to repurchase, warrants and convertible notes are considered to be potentially dilutive securities.</w:t>
      </w:r>
    </w:p>
    <w:p>
      <w:pPr>
        <w:spacing w:after="0" w:line="64"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Accordingly, in periods in which the Company reports a net loss, diluted net loss per share is the same as basic net loss per share, since dilutive common shares are not assumed to have been issued if their effect is anti-dilutive.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plans</w:t>
      </w:r>
    </w:p>
    <w:p>
      <w:pPr>
        <w:spacing w:after="0" w:line="104" w:lineRule="exact"/>
        <w:rPr>
          <w:sz w:val="20"/>
          <w:szCs w:val="20"/>
          <w:color w:val="auto"/>
        </w:rPr>
      </w:pPr>
    </w:p>
    <w:p>
      <w:pPr>
        <w:ind w:right="60" w:firstLine="360"/>
        <w:spacing w:after="0" w:line="261" w:lineRule="auto"/>
        <w:rPr>
          <w:sz w:val="20"/>
          <w:szCs w:val="20"/>
          <w:color w:val="auto"/>
        </w:rPr>
      </w:pPr>
      <w:r>
        <w:rPr>
          <w:rFonts w:ascii="Arial" w:cs="Arial" w:eastAsia="Arial" w:hAnsi="Arial"/>
          <w:sz w:val="18"/>
          <w:szCs w:val="18"/>
          <w:color w:val="auto"/>
        </w:rPr>
        <w:t>The Company has established a defined contribution savings plan for its employees in Aligos-US under Section 401(k) of the Internal Revenue Code, and a defined benefits plan for its employees in Aligos-Belgium.</w:t>
      </w:r>
    </w:p>
    <w:p>
      <w:pPr>
        <w:spacing w:after="0" w:line="63"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The Company uses the standard method for the recognition of the actuarial results as described in ASC 715. This means application of a 10% corridor and amortization over the expected average remaining working lives of the employees. The plan contains benefits to the plan participant on the normal plan retirement date and benefits to the partner after death of the plan participant. This plan is recognized under ASC 715.</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0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requires that financial assets measured at amortized cost be presented at the net amount expected to be collected.</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U.S. GAAP delays recognition of the full amount of credit losses until the loss is probable of occurring. Under this ASU, the income statement will reflect an entity’s current estimate of all expected credit losses. The measurement of expected credit losses will be based upon historical experience, current conditions, and reasonable and supportable forecasts that affect the collectability of the reported amount. In November 2018, the FASB issued ASU No. 2018-19,</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34" w:name="page135"/>
    <w:bookmarkEnd w:id="134"/>
    <w:p>
      <w:pPr>
        <w:spacing w:after="0" w:line="255" w:lineRule="auto"/>
        <w:rPr>
          <w:sz w:val="20"/>
          <w:szCs w:val="20"/>
          <w:color w:val="auto"/>
        </w:rPr>
      </w:pPr>
      <w:r>
        <w:rPr>
          <w:rFonts w:ascii="Arial" w:cs="Arial" w:eastAsia="Arial" w:hAnsi="Arial"/>
          <w:sz w:val="17"/>
          <w:szCs w:val="17"/>
          <w:i w:val="1"/>
          <w:iCs w:val="1"/>
          <w:color w:val="auto"/>
        </w:rPr>
        <w:t xml:space="preserve">Codification Improvements to Topic 326, Financial Instruments—Credit Losses </w:t>
      </w:r>
      <w:r>
        <w:rPr>
          <w:rFonts w:ascii="Arial" w:cs="Arial" w:eastAsia="Arial" w:hAnsi="Arial"/>
          <w:sz w:val="17"/>
          <w:szCs w:val="17"/>
          <w:color w:val="auto"/>
        </w:rPr>
        <w:t>(ASU 2018-19), which clarifies that receivables from operating leases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accounted for using the lease guidance and not as financial instruments. In April 2019, the FASB issued ASU No. 2019-04, </w:t>
      </w:r>
      <w:r>
        <w:rPr>
          <w:rFonts w:ascii="Arial" w:cs="Arial" w:eastAsia="Arial" w:hAnsi="Arial"/>
          <w:sz w:val="17"/>
          <w:szCs w:val="17"/>
          <w:i w:val="1"/>
          <w:iCs w:val="1"/>
          <w:color w:val="auto"/>
        </w:rPr>
        <w:t>Codification 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326, Financial Instruments—Credit Losses </w:t>
      </w:r>
      <w:r>
        <w:rPr>
          <w:rFonts w:ascii="Arial" w:cs="Arial" w:eastAsia="Arial" w:hAnsi="Arial"/>
          <w:sz w:val="17"/>
          <w:szCs w:val="17"/>
          <w:color w:val="auto"/>
        </w:rPr>
        <w:t>(ASU 2019-04), which clarifies the new expected credit loss methodology for loans, receivables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financial assets, including recoveries and accrued interest on receivables. In November 2019, the FASB issued ASU No. 2019-11, </w:t>
      </w:r>
      <w:r>
        <w:rPr>
          <w:rFonts w:ascii="Arial" w:cs="Arial" w:eastAsia="Arial" w:hAnsi="Arial"/>
          <w:sz w:val="17"/>
          <w:szCs w:val="17"/>
          <w:i w:val="1"/>
          <w:iCs w:val="1"/>
          <w:color w:val="auto"/>
        </w:rPr>
        <w:t>Codification</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 to Topic 326</w:t>
      </w:r>
      <w:r>
        <w:rPr>
          <w:rFonts w:ascii="Arial" w:cs="Arial" w:eastAsia="Arial" w:hAnsi="Arial"/>
          <w:sz w:val="17"/>
          <w:szCs w:val="17"/>
          <w:color w:val="auto"/>
        </w:rPr>
        <w:t>,</w:t>
      </w:r>
      <w:r>
        <w:rPr>
          <w:rFonts w:ascii="Arial" w:cs="Arial" w:eastAsia="Arial" w:hAnsi="Arial"/>
          <w:sz w:val="17"/>
          <w:szCs w:val="17"/>
          <w:i w:val="1"/>
          <w:iCs w:val="1"/>
          <w:color w:val="auto"/>
        </w:rPr>
        <w:t xml:space="preserve"> Financial Instruments—Credit Losses </w:t>
      </w:r>
      <w:r>
        <w:rPr>
          <w:rFonts w:ascii="Arial" w:cs="Arial" w:eastAsia="Arial" w:hAnsi="Arial"/>
          <w:sz w:val="17"/>
          <w:szCs w:val="17"/>
          <w:color w:val="auto"/>
        </w:rPr>
        <w:t>(ASU 2019-11), which clarifies guidance around how to report expected recoveries. The</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 is effective for fiscal years beginning after December 15, 2022, including interim periods within those fiscal years. Early adoption is permitted. The Company is evaluating the potential impact of this standard on its consolidated financial statements.</w:t>
      </w:r>
    </w:p>
    <w:p>
      <w:pPr>
        <w:spacing w:after="0" w:line="180" w:lineRule="exact"/>
        <w:rPr>
          <w:sz w:val="20"/>
          <w:szCs w:val="20"/>
          <w:color w:val="auto"/>
        </w:rPr>
      </w:pPr>
    </w:p>
    <w:p>
      <w:pPr>
        <w:ind w:right="240" w:firstLine="509"/>
        <w:spacing w:after="0" w:line="241"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The guidance removes specific exceptions to the general principles in ASC 740, improves application of income tax-related guidance and reduces complexity related to the accounting for income taxes. The standard is effective for fiscal years beginning after December 15, 2021, and interim periods with fiscal years beginning after December 15, 2022. Early adoption is permitted. The Company is evaluating the potential impact of this standard on its consolidated financial statements.</w:t>
      </w:r>
    </w:p>
    <w:p>
      <w:pPr>
        <w:spacing w:after="0" w:line="18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From time to time, new accounting pronouncements are issued by FASB that the Company adopts as of the specified effective date. The Company qualifies as an “emerging growth company” as defined in the Jumpstart Our Business Startups Act of 2012 and has the option to not “opt out” of the extended transition related to complying with new or revised accounting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property and equipment were as follows as of December 31, 2021 and 2020:</w:t>
      </w:r>
    </w:p>
    <w:p>
      <w:pPr>
        <w:spacing w:after="0" w:line="217"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0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r>
      <w:tr>
        <w:trPr>
          <w:trHeight w:val="196"/>
        </w:trPr>
        <w:tc>
          <w:tcPr>
            <w:tcW w:w="5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Leasehold improvements</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5,940</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5,655</w:t>
            </w:r>
          </w:p>
        </w:tc>
        <w:tc>
          <w:tcPr>
            <w:tcW w:w="120" w:type="dxa"/>
            <w:vAlign w:val="bottom"/>
            <w:shd w:val="clear" w:color="auto" w:fill="CFF0FC"/>
          </w:tcPr>
          <w:p>
            <w:pPr>
              <w:spacing w:after="0"/>
              <w:rPr>
                <w:sz w:val="17"/>
                <w:szCs w:val="17"/>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Lab equipment</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5,709</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4,833</w:t>
            </w:r>
          </w:p>
        </w:tc>
        <w:tc>
          <w:tcPr>
            <w:tcW w:w="120" w:type="dxa"/>
            <w:vAlign w:val="bottom"/>
          </w:tcPr>
          <w:p>
            <w:pPr>
              <w:spacing w:after="0"/>
              <w:rPr>
                <w:sz w:val="17"/>
                <w:szCs w:val="17"/>
                <w:color w:val="auto"/>
              </w:rPr>
            </w:pPr>
          </w:p>
        </w:tc>
      </w:tr>
      <w:tr>
        <w:trPr>
          <w:trHeight w:val="203"/>
        </w:trPr>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Computer equipment</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994</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942</w:t>
            </w:r>
          </w:p>
        </w:tc>
        <w:tc>
          <w:tcPr>
            <w:tcW w:w="120" w:type="dxa"/>
            <w:vAlign w:val="bottom"/>
            <w:shd w:val="clear" w:color="auto" w:fill="CFF0FC"/>
          </w:tcPr>
          <w:p>
            <w:pPr>
              <w:spacing w:after="0"/>
              <w:rPr>
                <w:sz w:val="17"/>
                <w:szCs w:val="17"/>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Furniture and office equipment</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472</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459</w:t>
            </w:r>
          </w:p>
        </w:tc>
        <w:tc>
          <w:tcPr>
            <w:tcW w:w="120" w:type="dxa"/>
            <w:vAlign w:val="bottom"/>
          </w:tcPr>
          <w:p>
            <w:pPr>
              <w:spacing w:after="0"/>
              <w:rPr>
                <w:sz w:val="17"/>
                <w:szCs w:val="17"/>
                <w:color w:val="auto"/>
              </w:rPr>
            </w:pPr>
          </w:p>
        </w:tc>
      </w:tr>
      <w:tr>
        <w:trPr>
          <w:trHeight w:val="203"/>
        </w:trPr>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Vehicles</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305</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296</w:t>
            </w:r>
          </w:p>
        </w:tc>
        <w:tc>
          <w:tcPr>
            <w:tcW w:w="120" w:type="dxa"/>
            <w:vAlign w:val="bottom"/>
            <w:shd w:val="clear" w:color="auto" w:fill="CFF0FC"/>
          </w:tcPr>
          <w:p>
            <w:pPr>
              <w:spacing w:after="0"/>
              <w:rPr>
                <w:sz w:val="17"/>
                <w:szCs w:val="17"/>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Asset under construction</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w:t>
            </w:r>
          </w:p>
        </w:tc>
        <w:tc>
          <w:tcPr>
            <w:tcW w:w="120" w:type="dxa"/>
            <w:vAlign w:val="bottom"/>
          </w:tcPr>
          <w:p>
            <w:pPr>
              <w:spacing w:after="0"/>
              <w:rPr>
                <w:sz w:val="17"/>
                <w:szCs w:val="17"/>
                <w:color w:val="auto"/>
              </w:rPr>
            </w:pPr>
          </w:p>
        </w:tc>
      </w:tr>
      <w:tr>
        <w:trPr>
          <w:trHeight w:val="196"/>
        </w:trPr>
        <w:tc>
          <w:tcPr>
            <w:tcW w:w="500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at cost</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13,442</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12,250</w:t>
            </w:r>
          </w:p>
        </w:tc>
        <w:tc>
          <w:tcPr>
            <w:tcW w:w="120" w:type="dxa"/>
            <w:vAlign w:val="bottom"/>
            <w:shd w:val="clear" w:color="auto" w:fill="CFF0FC"/>
          </w:tcPr>
          <w:p>
            <w:pPr>
              <w:spacing w:after="0"/>
              <w:rPr>
                <w:sz w:val="17"/>
                <w:szCs w:val="17"/>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Accumulated depreciation</w:t>
            </w:r>
          </w:p>
        </w:tc>
        <w:tc>
          <w:tcPr>
            <w:tcW w:w="300" w:type="dxa"/>
            <w:vAlign w:val="bottom"/>
          </w:tcPr>
          <w:p>
            <w:pPr>
              <w:spacing w:after="0"/>
              <w:rPr>
                <w:sz w:val="17"/>
                <w:szCs w:val="17"/>
                <w:color w:val="auto"/>
              </w:rPr>
            </w:pP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(7,262 )</w:t>
            </w:r>
          </w:p>
        </w:tc>
        <w:tc>
          <w:tcPr>
            <w:tcW w:w="30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(4,243 )</w:t>
            </w:r>
          </w:p>
        </w:tc>
      </w:tr>
      <w:tr>
        <w:trPr>
          <w:trHeight w:val="196"/>
        </w:trPr>
        <w:tc>
          <w:tcPr>
            <w:tcW w:w="500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net</w:t>
            </w: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6,180</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8,007</w:t>
            </w:r>
          </w:p>
        </w:tc>
        <w:tc>
          <w:tcPr>
            <w:tcW w:w="12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-5080</wp:posOffset>
            </wp:positionV>
            <wp:extent cx="6858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-5080</wp:posOffset>
            </wp:positionV>
            <wp:extent cx="6858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17" w:lineRule="exact"/>
        <w:rPr>
          <w:sz w:val="20"/>
          <w:szCs w:val="20"/>
          <w:color w:val="auto"/>
        </w:rPr>
      </w:pPr>
    </w:p>
    <w:p>
      <w:pPr>
        <w:ind w:right="120" w:firstLine="509"/>
        <w:spacing w:after="0" w:line="291" w:lineRule="auto"/>
        <w:rPr>
          <w:sz w:val="20"/>
          <w:szCs w:val="20"/>
          <w:color w:val="auto"/>
        </w:rPr>
      </w:pPr>
      <w:r>
        <w:rPr>
          <w:rFonts w:ascii="Arial" w:cs="Arial" w:eastAsia="Arial" w:hAnsi="Arial"/>
          <w:sz w:val="17"/>
          <w:szCs w:val="17"/>
          <w:color w:val="auto"/>
        </w:rPr>
        <w:t>During the years ended December 31, 2021 and December 31, 2020, depreciation expense was $3.0 million and $2.7 million, respectively. Finance leases for vehicles and lab equipment are also included in property and equipment on the consolidated balance sheets (Note 6).</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4. Investments</w:t>
      </w:r>
    </w:p>
    <w:p>
      <w:pPr>
        <w:spacing w:after="0" w:line="108"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As of December 31, 2021 and 2020, amortized cost, gross unrealized gains and losses, and estimated fair values of total fixed-maturity securities were as follows:</w:t>
      </w:r>
    </w:p>
    <w:p>
      <w:pPr>
        <w:spacing w:after="0" w:line="203"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6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0"/>
        </w:trPr>
        <w:tc>
          <w:tcPr>
            <w:tcW w:w="6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157"/>
              <w:spacing w:after="0" w:line="160"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3"/>
                <w:szCs w:val="13"/>
                <w:color w:val="auto"/>
              </w:rPr>
            </w:pPr>
          </w:p>
        </w:tc>
        <w:tc>
          <w:tcPr>
            <w:tcW w:w="114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2"/>
              </w:rPr>
              <w:t>Gross Unrealized</w:t>
            </w:r>
          </w:p>
        </w:tc>
        <w:tc>
          <w:tcPr>
            <w:tcW w:w="280" w:type="dxa"/>
            <w:vAlign w:val="bottom"/>
          </w:tcPr>
          <w:p>
            <w:pPr>
              <w:spacing w:after="0"/>
              <w:rPr>
                <w:sz w:val="13"/>
                <w:szCs w:val="13"/>
                <w:color w:val="auto"/>
              </w:rPr>
            </w:pPr>
          </w:p>
        </w:tc>
        <w:tc>
          <w:tcPr>
            <w:tcW w:w="112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w w:val="90"/>
              </w:rPr>
              <w:t>Gross Unrealized</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ind w:left="80"/>
              <w:spacing w:after="0" w:line="160" w:lineRule="exact"/>
              <w:rPr>
                <w:sz w:val="20"/>
                <w:szCs w:val="20"/>
                <w:color w:val="auto"/>
              </w:rPr>
            </w:pPr>
            <w:r>
              <w:rPr>
                <w:rFonts w:ascii="Arial" w:cs="Arial" w:eastAsia="Arial" w:hAnsi="Arial"/>
                <w:sz w:val="14"/>
                <w:szCs w:val="14"/>
                <w:b w:val="1"/>
                <w:bCs w:val="1"/>
                <w:color w:val="auto"/>
              </w:rPr>
              <w:t>Estimated</w:t>
            </w:r>
          </w:p>
        </w:tc>
        <w:tc>
          <w:tcPr>
            <w:tcW w:w="60" w:type="dxa"/>
            <w:vAlign w:val="bottom"/>
          </w:tcPr>
          <w:p>
            <w:pPr>
              <w:spacing w:after="0"/>
              <w:rPr>
                <w:sz w:val="13"/>
                <w:szCs w:val="13"/>
                <w:color w:val="auto"/>
              </w:rPr>
            </w:pPr>
          </w:p>
        </w:tc>
      </w:tr>
      <w:tr>
        <w:trPr>
          <w:trHeight w:val="185"/>
        </w:trPr>
        <w:tc>
          <w:tcPr>
            <w:tcW w:w="60" w:type="dxa"/>
            <w:vAlign w:val="bottom"/>
          </w:tcPr>
          <w:p>
            <w:pPr>
              <w:spacing w:after="0"/>
              <w:rPr>
                <w:sz w:val="16"/>
                <w:szCs w:val="16"/>
                <w:color w:val="auto"/>
              </w:rPr>
            </w:pPr>
          </w:p>
        </w:tc>
        <w:tc>
          <w:tcPr>
            <w:tcW w:w="48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980" w:type="dxa"/>
            <w:vAlign w:val="bottom"/>
          </w:tcPr>
          <w:p>
            <w:pPr>
              <w:jc w:val="right"/>
              <w:ind w:right="337"/>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center"/>
              <w:ind w:right="157"/>
              <w:spacing w:after="0"/>
              <w:rPr>
                <w:sz w:val="20"/>
                <w:szCs w:val="20"/>
                <w:color w:val="auto"/>
              </w:rPr>
            </w:pPr>
            <w:r>
              <w:rPr>
                <w:rFonts w:ascii="Arial" w:cs="Arial" w:eastAsia="Arial" w:hAnsi="Arial"/>
                <w:sz w:val="14"/>
                <w:szCs w:val="14"/>
                <w:b w:val="1"/>
                <w:bCs w:val="1"/>
                <w:color w:val="auto"/>
                <w:w w:val="96"/>
              </w:rPr>
              <w:t>Gain</w:t>
            </w:r>
          </w:p>
        </w:tc>
        <w:tc>
          <w:tcPr>
            <w:tcW w:w="280" w:type="dxa"/>
            <w:vAlign w:val="bottom"/>
          </w:tcPr>
          <w:p>
            <w:pPr>
              <w:spacing w:after="0"/>
              <w:rPr>
                <w:sz w:val="16"/>
                <w:szCs w:val="16"/>
                <w:color w:val="auto"/>
              </w:rPr>
            </w:pPr>
          </w:p>
        </w:tc>
        <w:tc>
          <w:tcPr>
            <w:tcW w:w="760" w:type="dxa"/>
            <w:vAlign w:val="bottom"/>
          </w:tcPr>
          <w:p>
            <w:pPr>
              <w:ind w:left="420"/>
              <w:spacing w:after="0"/>
              <w:rPr>
                <w:sz w:val="20"/>
                <w:szCs w:val="20"/>
                <w:color w:val="auto"/>
              </w:rPr>
            </w:pPr>
            <w:r>
              <w:rPr>
                <w:rFonts w:ascii="Arial" w:cs="Arial" w:eastAsia="Arial" w:hAnsi="Arial"/>
                <w:sz w:val="14"/>
                <w:szCs w:val="14"/>
                <w:b w:val="1"/>
                <w:bCs w:val="1"/>
                <w:color w:val="auto"/>
                <w:w w:val="97"/>
              </w:rPr>
              <w:t>Loss</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6"/>
                <w:szCs w:val="16"/>
                <w:color w:val="auto"/>
              </w:rPr>
            </w:pPr>
          </w:p>
        </w:tc>
      </w:tr>
      <w:tr>
        <w:trPr>
          <w:trHeight w:val="196"/>
        </w:trPr>
        <w:tc>
          <w:tcPr>
            <w:tcW w:w="60" w:type="dxa"/>
            <w:vAlign w:val="bottom"/>
          </w:tcPr>
          <w:p>
            <w:pPr>
              <w:spacing w:after="0"/>
              <w:rPr>
                <w:sz w:val="17"/>
                <w:szCs w:val="17"/>
                <w:color w:val="auto"/>
              </w:rPr>
            </w:pPr>
          </w:p>
        </w:tc>
        <w:tc>
          <w:tcPr>
            <w:tcW w:w="4800" w:type="dxa"/>
            <w:vAlign w:val="bottom"/>
          </w:tcPr>
          <w:p>
            <w:pPr>
              <w:spacing w:after="0" w:line="196" w:lineRule="exact"/>
              <w:rPr>
                <w:sz w:val="20"/>
                <w:szCs w:val="20"/>
                <w:color w:val="auto"/>
              </w:rPr>
            </w:pPr>
            <w:r>
              <w:rPr>
                <w:rFonts w:ascii="Arial" w:cs="Arial" w:eastAsia="Arial" w:hAnsi="Arial"/>
                <w:sz w:val="18"/>
                <w:szCs w:val="18"/>
                <w:color w:val="auto"/>
              </w:rPr>
              <w:t>Held-to-maturity securities:</w:t>
            </w: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4800" w:type="dxa"/>
            <w:vAlign w:val="bottom"/>
            <w:shd w:val="clear" w:color="auto" w:fill="CFF0FC"/>
          </w:tcPr>
          <w:p>
            <w:pPr>
              <w:jc w:val="center"/>
              <w:ind w:right="2873"/>
              <w:spacing w:after="0" w:line="202" w:lineRule="exact"/>
              <w:rPr>
                <w:sz w:val="20"/>
                <w:szCs w:val="20"/>
                <w:color w:val="auto"/>
              </w:rPr>
            </w:pPr>
            <w:r>
              <w:rPr>
                <w:rFonts w:ascii="Arial" w:cs="Arial" w:eastAsia="Arial" w:hAnsi="Arial"/>
                <w:sz w:val="18"/>
                <w:szCs w:val="18"/>
                <w:color w:val="auto"/>
                <w:w w:val="89"/>
              </w:rPr>
              <w:t>U.S. Treasury bonds</w:t>
            </w:r>
          </w:p>
        </w:tc>
        <w:tc>
          <w:tcPr>
            <w:tcW w:w="200" w:type="dxa"/>
            <w:vAlign w:val="bottom"/>
            <w:tcBorders>
              <w:lef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right w:val="single" w:sz="8" w:color="CFF0FC"/>
            </w:tcBorders>
            <w:shd w:val="clear" w:color="auto" w:fill="CFF0FC"/>
          </w:tcPr>
          <w:p>
            <w:pPr>
              <w:jc w:val="center"/>
              <w:ind w:left="397"/>
              <w:spacing w:after="0" w:line="202" w:lineRule="exact"/>
              <w:rPr>
                <w:sz w:val="20"/>
                <w:szCs w:val="20"/>
                <w:color w:val="auto"/>
              </w:rPr>
            </w:pPr>
            <w:r>
              <w:rPr>
                <w:rFonts w:ascii="Arial" w:cs="Arial" w:eastAsia="Arial" w:hAnsi="Arial"/>
                <w:sz w:val="18"/>
                <w:szCs w:val="18"/>
                <w:color w:val="auto"/>
                <w:w w:val="90"/>
              </w:rPr>
              <w:t>10,002</w:t>
            </w:r>
          </w:p>
        </w:tc>
        <w:tc>
          <w:tcPr>
            <w:tcW w:w="440" w:type="dxa"/>
            <w:vAlign w:val="bottom"/>
            <w:gridSpan w:val="2"/>
            <w:shd w:val="clear" w:color="auto" w:fill="CFF0FC"/>
          </w:tcPr>
          <w:p>
            <w:pPr>
              <w:jc w:val="right"/>
              <w:ind w:right="65"/>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CFF0FC"/>
            </w:tcBorders>
            <w:shd w:val="clear" w:color="auto" w:fill="CFF0FC"/>
          </w:tcPr>
          <w:p>
            <w:pPr>
              <w:jc w:val="center"/>
              <w:ind w:left="597"/>
              <w:spacing w:after="0" w:line="202" w:lineRule="exact"/>
              <w:rPr>
                <w:sz w:val="20"/>
                <w:szCs w:val="20"/>
                <w:color w:val="auto"/>
              </w:rPr>
            </w:pPr>
            <w:r>
              <w:rPr>
                <w:rFonts w:ascii="Arial" w:cs="Arial" w:eastAsia="Arial" w:hAnsi="Arial"/>
                <w:sz w:val="18"/>
                <w:szCs w:val="18"/>
                <w:color w:val="auto"/>
                <w:w w:val="89"/>
              </w:rPr>
              <w:t>14</w:t>
            </w:r>
          </w:p>
        </w:tc>
        <w:tc>
          <w:tcPr>
            <w:tcW w:w="1040" w:type="dxa"/>
            <w:vAlign w:val="bottom"/>
            <w:gridSpan w:val="2"/>
            <w:shd w:val="clear" w:color="auto" w:fill="CFF0FC"/>
          </w:tcPr>
          <w:p>
            <w:pPr>
              <w:ind w:left="300"/>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right w:val="single" w:sz="8" w:color="CFF0FC"/>
            </w:tcBorders>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10,016</w:t>
            </w:r>
          </w:p>
        </w:tc>
        <w:tc>
          <w:tcPr>
            <w:tcW w:w="6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8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4800" w:type="dxa"/>
            <w:vAlign w:val="bottom"/>
            <w:tcBorders>
              <w:bottom w:val="single" w:sz="8" w:color="CFF0FC"/>
            </w:tcBorders>
            <w:shd w:val="clear" w:color="auto" w:fill="CFF0FC"/>
          </w:tcPr>
          <w:p>
            <w:pPr>
              <w:jc w:val="center"/>
              <w:ind w:right="2873"/>
              <w:spacing w:after="0" w:line="202" w:lineRule="exact"/>
              <w:rPr>
                <w:sz w:val="20"/>
                <w:szCs w:val="20"/>
                <w:color w:val="auto"/>
              </w:rPr>
            </w:pPr>
            <w:r>
              <w:rPr>
                <w:rFonts w:ascii="Arial" w:cs="Arial" w:eastAsia="Arial" w:hAnsi="Arial"/>
                <w:sz w:val="18"/>
                <w:szCs w:val="18"/>
                <w:color w:val="auto"/>
                <w:w w:val="89"/>
              </w:rPr>
              <w:t>U.S. Treasury bonds</w:t>
            </w:r>
          </w:p>
        </w:tc>
        <w:tc>
          <w:tcPr>
            <w:tcW w:w="200" w:type="dxa"/>
            <w:vAlign w:val="bottom"/>
            <w:tcBorders>
              <w:left w:val="single" w:sz="8" w:color="CFF0FC"/>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CFF0FC"/>
            </w:tcBorders>
            <w:shd w:val="clear" w:color="auto" w:fill="CFF0FC"/>
          </w:tcPr>
          <w:p>
            <w:pPr>
              <w:jc w:val="center"/>
              <w:ind w:left="397"/>
              <w:spacing w:after="0" w:line="202" w:lineRule="exact"/>
              <w:rPr>
                <w:sz w:val="20"/>
                <w:szCs w:val="20"/>
                <w:color w:val="auto"/>
              </w:rPr>
            </w:pPr>
            <w:r>
              <w:rPr>
                <w:rFonts w:ascii="Arial" w:cs="Arial" w:eastAsia="Arial" w:hAnsi="Arial"/>
                <w:sz w:val="18"/>
                <w:szCs w:val="18"/>
                <w:color w:val="auto"/>
                <w:w w:val="90"/>
              </w:rPr>
              <w:t>13,060</w:t>
            </w:r>
          </w:p>
        </w:tc>
        <w:tc>
          <w:tcPr>
            <w:tcW w:w="200" w:type="dxa"/>
            <w:vAlign w:val="bottom"/>
            <w:tcBorders>
              <w:bottom w:val="single" w:sz="8" w:color="CFF0FC"/>
              <w:right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65"/>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right w:val="single" w:sz="8" w:color="CFF0FC"/>
            </w:tcBorders>
            <w:shd w:val="clear" w:color="auto" w:fill="CFF0FC"/>
          </w:tcPr>
          <w:p>
            <w:pPr>
              <w:jc w:val="center"/>
              <w:ind w:left="597"/>
              <w:spacing w:after="0" w:line="202" w:lineRule="exact"/>
              <w:rPr>
                <w:sz w:val="20"/>
                <w:szCs w:val="20"/>
                <w:color w:val="auto"/>
              </w:rPr>
            </w:pPr>
            <w:r>
              <w:rPr>
                <w:rFonts w:ascii="Arial" w:cs="Arial" w:eastAsia="Arial" w:hAnsi="Arial"/>
                <w:sz w:val="18"/>
                <w:szCs w:val="18"/>
                <w:color w:val="auto"/>
                <w:w w:val="89"/>
              </w:rPr>
              <w:t>68</w:t>
            </w:r>
          </w:p>
        </w:tc>
        <w:tc>
          <w:tcPr>
            <w:tcW w:w="280" w:type="dxa"/>
            <w:vAlign w:val="bottom"/>
            <w:tcBorders>
              <w:bottom w:val="single" w:sz="8" w:color="CFF0FC"/>
              <w:right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CFF0FC"/>
            </w:tcBorders>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13,128</w:t>
            </w:r>
          </w:p>
        </w:tc>
        <w:tc>
          <w:tcPr>
            <w:tcW w:w="6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center"/>
              <w:ind w:left="397"/>
              <w:spacing w:after="0" w:line="196" w:lineRule="exact"/>
              <w:rPr>
                <w:sz w:val="20"/>
                <w:szCs w:val="20"/>
                <w:color w:val="auto"/>
              </w:rPr>
            </w:pPr>
            <w:r>
              <w:rPr>
                <w:rFonts w:ascii="Arial" w:cs="Arial" w:eastAsia="Arial" w:hAnsi="Arial"/>
                <w:sz w:val="18"/>
                <w:szCs w:val="18"/>
                <w:color w:val="auto"/>
                <w:w w:val="90"/>
              </w:rPr>
              <w:t>23,062</w:t>
            </w:r>
          </w:p>
        </w:tc>
        <w:tc>
          <w:tcPr>
            <w:tcW w:w="200" w:type="dxa"/>
            <w:vAlign w:val="bottom"/>
          </w:tcPr>
          <w:p>
            <w:pPr>
              <w:spacing w:after="0"/>
              <w:rPr>
                <w:sz w:val="17"/>
                <w:szCs w:val="17"/>
                <w:color w:val="auto"/>
              </w:rPr>
            </w:pPr>
          </w:p>
        </w:tc>
        <w:tc>
          <w:tcPr>
            <w:tcW w:w="240" w:type="dxa"/>
            <w:vAlign w:val="bottom"/>
            <w:tcBorders>
              <w:bottom w:val="single" w:sz="8" w:color="auto"/>
            </w:tcBorders>
          </w:tcPr>
          <w:p>
            <w:pPr>
              <w:jc w:val="right"/>
              <w:ind w:right="65"/>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center"/>
              <w:ind w:left="597"/>
              <w:spacing w:after="0" w:line="196" w:lineRule="exact"/>
              <w:rPr>
                <w:sz w:val="20"/>
                <w:szCs w:val="20"/>
                <w:color w:val="auto"/>
              </w:rPr>
            </w:pPr>
            <w:r>
              <w:rPr>
                <w:rFonts w:ascii="Arial" w:cs="Arial" w:eastAsia="Arial" w:hAnsi="Arial"/>
                <w:sz w:val="18"/>
                <w:szCs w:val="18"/>
                <w:color w:val="auto"/>
                <w:w w:val="89"/>
              </w:rPr>
              <w:t>82</w:t>
            </w:r>
          </w:p>
        </w:tc>
        <w:tc>
          <w:tcPr>
            <w:tcW w:w="280" w:type="dxa"/>
            <w:vAlign w:val="bottom"/>
          </w:tcPr>
          <w:p>
            <w:pPr>
              <w:spacing w:after="0"/>
              <w:rPr>
                <w:sz w:val="17"/>
                <w:szCs w:val="17"/>
                <w:color w:val="auto"/>
              </w:rPr>
            </w:pPr>
          </w:p>
        </w:tc>
        <w:tc>
          <w:tcPr>
            <w:tcW w:w="7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7"/>
              <w:spacing w:after="0" w:line="196" w:lineRule="exact"/>
              <w:rPr>
                <w:sz w:val="20"/>
                <w:szCs w:val="20"/>
                <w:color w:val="auto"/>
              </w:rPr>
            </w:pPr>
            <w:r>
              <w:rPr>
                <w:rFonts w:ascii="Arial" w:cs="Arial" w:eastAsia="Arial" w:hAnsi="Arial"/>
                <w:sz w:val="18"/>
                <w:szCs w:val="18"/>
                <w:color w:val="auto"/>
              </w:rPr>
              <w:t>23,144</w:t>
            </w:r>
          </w:p>
        </w:tc>
        <w:tc>
          <w:tcPr>
            <w:tcW w:w="6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December 31, 2021</w:t>
            </w: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0"/>
        </w:trPr>
        <w:tc>
          <w:tcPr>
            <w:tcW w:w="6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197"/>
              <w:spacing w:after="0" w:line="160" w:lineRule="exact"/>
              <w:rPr>
                <w:sz w:val="20"/>
                <w:szCs w:val="20"/>
                <w:color w:val="auto"/>
              </w:rPr>
            </w:pPr>
            <w:r>
              <w:rPr>
                <w:rFonts w:ascii="Arial" w:cs="Arial" w:eastAsia="Arial" w:hAnsi="Arial"/>
                <w:sz w:val="14"/>
                <w:szCs w:val="14"/>
                <w:b w:val="1"/>
                <w:bCs w:val="1"/>
                <w:color w:val="auto"/>
                <w:w w:val="99"/>
              </w:rPr>
              <w:t>Amortized</w:t>
            </w:r>
          </w:p>
        </w:tc>
        <w:tc>
          <w:tcPr>
            <w:tcW w:w="200" w:type="dxa"/>
            <w:vAlign w:val="bottom"/>
          </w:tcPr>
          <w:p>
            <w:pPr>
              <w:spacing w:after="0"/>
              <w:rPr>
                <w:sz w:val="13"/>
                <w:szCs w:val="13"/>
                <w:color w:val="auto"/>
              </w:rPr>
            </w:pPr>
          </w:p>
        </w:tc>
        <w:tc>
          <w:tcPr>
            <w:tcW w:w="1140" w:type="dxa"/>
            <w:vAlign w:val="bottom"/>
            <w:gridSpan w:val="2"/>
          </w:tcPr>
          <w:p>
            <w:pPr>
              <w:jc w:val="center"/>
              <w:ind w:right="17"/>
              <w:spacing w:after="0" w:line="160" w:lineRule="exact"/>
              <w:rPr>
                <w:sz w:val="20"/>
                <w:szCs w:val="20"/>
                <w:color w:val="auto"/>
              </w:rPr>
            </w:pPr>
            <w:r>
              <w:rPr>
                <w:rFonts w:ascii="Arial" w:cs="Arial" w:eastAsia="Arial" w:hAnsi="Arial"/>
                <w:sz w:val="14"/>
                <w:szCs w:val="14"/>
                <w:b w:val="1"/>
                <w:bCs w:val="1"/>
                <w:color w:val="auto"/>
                <w:w w:val="90"/>
              </w:rPr>
              <w:t>Gross Unrealized</w:t>
            </w:r>
          </w:p>
        </w:tc>
        <w:tc>
          <w:tcPr>
            <w:tcW w:w="280" w:type="dxa"/>
            <w:vAlign w:val="bottom"/>
          </w:tcPr>
          <w:p>
            <w:pPr>
              <w:spacing w:after="0"/>
              <w:rPr>
                <w:sz w:val="13"/>
                <w:szCs w:val="13"/>
                <w:color w:val="auto"/>
              </w:rPr>
            </w:pPr>
          </w:p>
        </w:tc>
        <w:tc>
          <w:tcPr>
            <w:tcW w:w="112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w w:val="93"/>
              </w:rPr>
              <w:t>Gross Unrealized</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ind w:left="80"/>
              <w:spacing w:after="0" w:line="160" w:lineRule="exact"/>
              <w:rPr>
                <w:sz w:val="20"/>
                <w:szCs w:val="20"/>
                <w:color w:val="auto"/>
              </w:rPr>
            </w:pPr>
            <w:r>
              <w:rPr>
                <w:rFonts w:ascii="Arial" w:cs="Arial" w:eastAsia="Arial" w:hAnsi="Arial"/>
                <w:sz w:val="14"/>
                <w:szCs w:val="14"/>
                <w:b w:val="1"/>
                <w:bCs w:val="1"/>
                <w:color w:val="auto"/>
              </w:rPr>
              <w:t>Estimated</w:t>
            </w:r>
          </w:p>
        </w:tc>
        <w:tc>
          <w:tcPr>
            <w:tcW w:w="60" w:type="dxa"/>
            <w:vAlign w:val="bottom"/>
          </w:tcPr>
          <w:p>
            <w:pPr>
              <w:spacing w:after="0"/>
              <w:rPr>
                <w:sz w:val="13"/>
                <w:szCs w:val="13"/>
                <w:color w:val="auto"/>
              </w:rPr>
            </w:pPr>
          </w:p>
        </w:tc>
      </w:tr>
      <w:tr>
        <w:trPr>
          <w:trHeight w:val="185"/>
        </w:trPr>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980" w:type="dxa"/>
            <w:vAlign w:val="bottom"/>
          </w:tcPr>
          <w:p>
            <w:pPr>
              <w:jc w:val="right"/>
              <w:ind w:right="397"/>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center"/>
              <w:ind w:right="277"/>
              <w:spacing w:after="0"/>
              <w:rPr>
                <w:sz w:val="20"/>
                <w:szCs w:val="20"/>
                <w:color w:val="auto"/>
              </w:rPr>
            </w:pPr>
            <w:r>
              <w:rPr>
                <w:rFonts w:ascii="Arial" w:cs="Arial" w:eastAsia="Arial" w:hAnsi="Arial"/>
                <w:sz w:val="14"/>
                <w:szCs w:val="14"/>
                <w:b w:val="1"/>
                <w:bCs w:val="1"/>
                <w:color w:val="auto"/>
                <w:w w:val="96"/>
              </w:rPr>
              <w:t>Gain</w:t>
            </w:r>
          </w:p>
        </w:tc>
        <w:tc>
          <w:tcPr>
            <w:tcW w:w="280" w:type="dxa"/>
            <w:vAlign w:val="bottom"/>
          </w:tcPr>
          <w:p>
            <w:pPr>
              <w:spacing w:after="0"/>
              <w:rPr>
                <w:sz w:val="16"/>
                <w:szCs w:val="16"/>
                <w:color w:val="auto"/>
              </w:rPr>
            </w:pPr>
          </w:p>
        </w:tc>
        <w:tc>
          <w:tcPr>
            <w:tcW w:w="760" w:type="dxa"/>
            <w:vAlign w:val="bottom"/>
          </w:tcPr>
          <w:p>
            <w:pPr>
              <w:ind w:left="360"/>
              <w:spacing w:after="0"/>
              <w:rPr>
                <w:sz w:val="20"/>
                <w:szCs w:val="20"/>
                <w:color w:val="auto"/>
              </w:rPr>
            </w:pPr>
            <w:r>
              <w:rPr>
                <w:rFonts w:ascii="Arial" w:cs="Arial" w:eastAsia="Arial" w:hAnsi="Arial"/>
                <w:sz w:val="14"/>
                <w:szCs w:val="14"/>
                <w:b w:val="1"/>
                <w:bCs w:val="1"/>
                <w:color w:val="auto"/>
              </w:rPr>
              <w:t>Loss</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ind w:left="8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6"/>
                <w:szCs w:val="16"/>
                <w:color w:val="auto"/>
              </w:rPr>
            </w:pPr>
          </w:p>
        </w:tc>
      </w:tr>
      <w:tr>
        <w:trPr>
          <w:trHeight w:val="196"/>
        </w:trPr>
        <w:tc>
          <w:tcPr>
            <w:tcW w:w="486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00" w:type="dxa"/>
            <w:vAlign w:val="bottom"/>
            <w:tcBorders>
              <w:top w:val="single" w:sz="8" w:color="auto"/>
              <w:left w:val="single" w:sz="8" w:color="CFF0FC"/>
            </w:tcBorders>
            <w:shd w:val="clear" w:color="auto" w:fill="CFF0FC"/>
          </w:tcPr>
          <w:p>
            <w:pPr>
              <w:spacing w:after="0"/>
              <w:rPr>
                <w:sz w:val="17"/>
                <w:szCs w:val="17"/>
                <w:color w:val="auto"/>
              </w:rPr>
            </w:pPr>
          </w:p>
        </w:tc>
        <w:tc>
          <w:tcPr>
            <w:tcW w:w="980" w:type="dxa"/>
            <w:vAlign w:val="bottom"/>
            <w:tcBorders>
              <w:top w:val="single" w:sz="8" w:color="auto"/>
              <w:right w:val="single" w:sz="8" w:color="CFF0FC"/>
            </w:tcBorders>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right w:val="single" w:sz="8" w:color="CFF0FC"/>
            </w:tcBorders>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right w:val="single" w:sz="8" w:color="CFF0FC"/>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4800" w:type="dxa"/>
            <w:vAlign w:val="bottom"/>
          </w:tcPr>
          <w:p>
            <w:pPr>
              <w:ind w:left="120"/>
              <w:spacing w:after="0" w:line="202" w:lineRule="exact"/>
              <w:rPr>
                <w:sz w:val="20"/>
                <w:szCs w:val="20"/>
                <w:color w:val="auto"/>
              </w:rPr>
            </w:pPr>
            <w:r>
              <w:rPr>
                <w:rFonts w:ascii="Arial" w:cs="Arial" w:eastAsia="Arial" w:hAnsi="Arial"/>
                <w:sz w:val="18"/>
                <w:szCs w:val="18"/>
                <w:color w:val="auto"/>
              </w:rPr>
              <w:t>U.S. Treasury bonds</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15,146</w:t>
            </w:r>
          </w:p>
        </w:tc>
        <w:tc>
          <w:tcPr>
            <w:tcW w:w="440" w:type="dxa"/>
            <w:vAlign w:val="bottom"/>
            <w:gridSpan w:val="2"/>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center"/>
              <w:ind w:left="597"/>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1"/>
              </w:rPr>
              <w:t>(36 )</w:t>
            </w:r>
          </w:p>
        </w:tc>
        <w:tc>
          <w:tcPr>
            <w:tcW w:w="3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15,110</w:t>
            </w:r>
          </w:p>
        </w:tc>
        <w:tc>
          <w:tcPr>
            <w:tcW w:w="60" w:type="dxa"/>
            <w:vAlign w:val="bottom"/>
          </w:tcPr>
          <w:p>
            <w:pPr>
              <w:spacing w:after="0"/>
              <w:rPr>
                <w:sz w:val="17"/>
                <w:szCs w:val="17"/>
                <w:color w:val="auto"/>
              </w:rPr>
            </w:pPr>
          </w:p>
        </w:tc>
      </w:tr>
      <w:tr>
        <w:trPr>
          <w:trHeight w:val="203"/>
        </w:trPr>
        <w:tc>
          <w:tcPr>
            <w:tcW w:w="60" w:type="dxa"/>
            <w:vAlign w:val="bottom"/>
            <w:shd w:val="clear" w:color="auto" w:fill="CFF0FC"/>
          </w:tcPr>
          <w:p>
            <w:pPr>
              <w:spacing w:after="0"/>
              <w:rPr>
                <w:sz w:val="17"/>
                <w:szCs w:val="17"/>
                <w:color w:val="auto"/>
              </w:rPr>
            </w:pPr>
          </w:p>
        </w:tc>
        <w:tc>
          <w:tcPr>
            <w:tcW w:w="4800" w:type="dxa"/>
            <w:vAlign w:val="bottom"/>
            <w:shd w:val="clear" w:color="auto" w:fill="CFF0FC"/>
          </w:tcPr>
          <w:p>
            <w:pPr>
              <w:jc w:val="center"/>
              <w:ind w:right="2873"/>
              <w:spacing w:after="0" w:line="202" w:lineRule="exact"/>
              <w:rPr>
                <w:sz w:val="20"/>
                <w:szCs w:val="20"/>
                <w:color w:val="auto"/>
              </w:rPr>
            </w:pPr>
            <w:r>
              <w:rPr>
                <w:rFonts w:ascii="Arial" w:cs="Arial" w:eastAsia="Arial" w:hAnsi="Arial"/>
                <w:sz w:val="18"/>
                <w:szCs w:val="18"/>
                <w:color w:val="auto"/>
                <w:w w:val="92"/>
              </w:rPr>
              <w:t>Certificates of deposit</w:t>
            </w:r>
          </w:p>
        </w:tc>
        <w:tc>
          <w:tcPr>
            <w:tcW w:w="200" w:type="dxa"/>
            <w:vAlign w:val="bottom"/>
            <w:tcBorders>
              <w:left w:val="single" w:sz="8" w:color="CFF0FC"/>
            </w:tcBorders>
            <w:shd w:val="clear" w:color="auto" w:fill="CFF0FC"/>
          </w:tcPr>
          <w:p>
            <w:pPr>
              <w:spacing w:after="0"/>
              <w:rPr>
                <w:sz w:val="17"/>
                <w:szCs w:val="17"/>
                <w:color w:val="auto"/>
              </w:rPr>
            </w:pPr>
          </w:p>
        </w:tc>
        <w:tc>
          <w:tcPr>
            <w:tcW w:w="980" w:type="dxa"/>
            <w:vAlign w:val="bottom"/>
            <w:tcBorders>
              <w:right w:val="single" w:sz="8" w:color="CFF0FC"/>
            </w:tcBorders>
            <w:shd w:val="clear" w:color="auto" w:fill="CFF0FC"/>
          </w:tcPr>
          <w:p>
            <w:pPr>
              <w:jc w:val="center"/>
              <w:ind w:left="377"/>
              <w:spacing w:after="0" w:line="202" w:lineRule="exact"/>
              <w:rPr>
                <w:sz w:val="20"/>
                <w:szCs w:val="20"/>
                <w:color w:val="auto"/>
              </w:rPr>
            </w:pPr>
            <w:r>
              <w:rPr>
                <w:rFonts w:ascii="Arial" w:cs="Arial" w:eastAsia="Arial" w:hAnsi="Arial"/>
                <w:sz w:val="18"/>
                <w:szCs w:val="18"/>
                <w:color w:val="auto"/>
                <w:w w:val="88"/>
              </w:rPr>
              <w:t>3,922</w:t>
            </w:r>
          </w:p>
        </w:tc>
        <w:tc>
          <w:tcPr>
            <w:tcW w:w="20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tcBorders>
              <w:right w:val="single" w:sz="8" w:color="CFF0FC"/>
            </w:tcBorders>
            <w:shd w:val="clear" w:color="auto" w:fill="CFF0FC"/>
          </w:tcPr>
          <w:p>
            <w:pPr>
              <w:jc w:val="center"/>
              <w:ind w:left="597"/>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tcBorders>
              <w:right w:val="single" w:sz="8" w:color="CFF0FC"/>
            </w:tcBorders>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(4 )</w:t>
            </w:r>
          </w:p>
        </w:tc>
        <w:tc>
          <w:tcPr>
            <w:tcW w:w="18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3,918</w:t>
            </w:r>
          </w:p>
        </w:tc>
        <w:tc>
          <w:tcPr>
            <w:tcW w:w="60" w:type="dxa"/>
            <w:vAlign w:val="bottom"/>
            <w:shd w:val="clear" w:color="auto" w:fill="CFF0FC"/>
          </w:tcPr>
          <w:p>
            <w:pPr>
              <w:spacing w:after="0"/>
              <w:rPr>
                <w:sz w:val="17"/>
                <w:szCs w:val="17"/>
                <w:color w:val="auto"/>
              </w:rPr>
            </w:pPr>
          </w:p>
        </w:tc>
      </w:tr>
      <w:tr>
        <w:trPr>
          <w:trHeight w:val="20"/>
        </w:trPr>
        <w:tc>
          <w:tcPr>
            <w:tcW w:w="60" w:type="dxa"/>
            <w:vAlign w:val="bottom"/>
            <w:shd w:val="clear" w:color="auto" w:fill="CFF0FC"/>
          </w:tcPr>
          <w:p>
            <w:pPr>
              <w:spacing w:after="0" w:line="20" w:lineRule="exact"/>
              <w:rPr>
                <w:sz w:val="1"/>
                <w:szCs w:val="1"/>
                <w:color w:val="auto"/>
              </w:rPr>
            </w:pPr>
          </w:p>
        </w:tc>
        <w:tc>
          <w:tcPr>
            <w:tcW w:w="4800" w:type="dxa"/>
            <w:vAlign w:val="bottom"/>
            <w:shd w:val="clear" w:color="auto" w:fill="CFF0FC"/>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19,068</w:t>
            </w:r>
          </w:p>
        </w:tc>
        <w:tc>
          <w:tcPr>
            <w:tcW w:w="200" w:type="dxa"/>
            <w:vAlign w:val="bottom"/>
          </w:tcPr>
          <w:p>
            <w:pPr>
              <w:spacing w:after="0"/>
              <w:rPr>
                <w:sz w:val="17"/>
                <w:szCs w:val="17"/>
                <w:color w:val="auto"/>
              </w:rPr>
            </w:pPr>
          </w:p>
        </w:tc>
        <w:tc>
          <w:tcPr>
            <w:tcW w:w="240" w:type="dxa"/>
            <w:vAlign w:val="bottom"/>
          </w:tcPr>
          <w:p>
            <w:pPr>
              <w:jc w:val="right"/>
              <w:ind w:right="105"/>
              <w:spacing w:after="0"/>
              <w:rPr>
                <w:sz w:val="20"/>
                <w:szCs w:val="20"/>
                <w:color w:val="auto"/>
              </w:rPr>
            </w:pPr>
            <w:r>
              <w:rPr>
                <w:rFonts w:ascii="Arial" w:cs="Arial" w:eastAsia="Arial" w:hAnsi="Arial"/>
                <w:sz w:val="10"/>
                <w:szCs w:val="10"/>
                <w:color w:val="auto"/>
                <w:w w:val="71"/>
              </w:rPr>
              <w:t>$</w:t>
            </w:r>
          </w:p>
        </w:tc>
        <w:tc>
          <w:tcPr>
            <w:tcW w:w="900" w:type="dxa"/>
            <w:vAlign w:val="bottom"/>
          </w:tcPr>
          <w:p>
            <w:pPr>
              <w:jc w:val="center"/>
              <w:ind w:left="597"/>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7"/>
                <w:szCs w:val="17"/>
                <w:color w:val="auto"/>
              </w:rPr>
            </w:pPr>
          </w:p>
        </w:tc>
        <w:tc>
          <w:tcPr>
            <w:tcW w:w="7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91"/>
              </w:rPr>
              <w:t>(40 )</w:t>
            </w:r>
          </w:p>
        </w:tc>
        <w:tc>
          <w:tcPr>
            <w:tcW w:w="34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19,028</w:t>
            </w:r>
          </w:p>
        </w:tc>
        <w:tc>
          <w:tcPr>
            <w:tcW w:w="6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-1479550</wp:posOffset>
            </wp:positionV>
            <wp:extent cx="5143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-1479550</wp:posOffset>
            </wp:positionV>
            <wp:extent cx="4318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-1479550</wp:posOffset>
            </wp:positionV>
            <wp:extent cx="4318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-1479550</wp:posOffset>
            </wp:positionV>
            <wp:extent cx="6032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-1213485</wp:posOffset>
            </wp:positionV>
            <wp:extent cx="5143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-1213485</wp:posOffset>
            </wp:positionV>
            <wp:extent cx="4318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-1213485</wp:posOffset>
            </wp:positionV>
            <wp:extent cx="4318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-1213485</wp:posOffset>
            </wp:positionV>
            <wp:extent cx="6032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-159385</wp:posOffset>
            </wp:positionV>
            <wp:extent cx="5143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-159385</wp:posOffset>
            </wp:positionV>
            <wp:extent cx="4318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-159385</wp:posOffset>
            </wp:positionV>
            <wp:extent cx="6858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-159385</wp:posOffset>
            </wp:positionV>
            <wp:extent cx="6032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Changes in fair value are related to changes in market interest rates. The Company expects to collect all contractual principal and interest payments.</w:t>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Amortized cost and estimated fair value of fixed-maturity securities at December 31, 2021 by contractual maturity were as follows:</w:t>
      </w:r>
    </w:p>
    <w:p>
      <w:pPr>
        <w:spacing w:after="0" w:line="217"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3"/>
        </w:trPr>
        <w:tc>
          <w:tcPr>
            <w:tcW w:w="5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239"/>
              <w:spacing w:after="0" w:line="133" w:lineRule="exact"/>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right"/>
              <w:ind w:right="237"/>
              <w:spacing w:after="0" w:line="133" w:lineRule="exact"/>
              <w:rPr>
                <w:sz w:val="20"/>
                <w:szCs w:val="20"/>
                <w:color w:val="auto"/>
              </w:rPr>
            </w:pPr>
            <w:r>
              <w:rPr>
                <w:rFonts w:ascii="Arial" w:cs="Arial" w:eastAsia="Arial" w:hAnsi="Arial"/>
                <w:sz w:val="14"/>
                <w:szCs w:val="14"/>
                <w:b w:val="1"/>
                <w:bCs w:val="1"/>
                <w:color w:val="auto"/>
              </w:rPr>
              <w:t>Estimated</w:t>
            </w:r>
          </w:p>
        </w:tc>
        <w:tc>
          <w:tcPr>
            <w:tcW w:w="80" w:type="dxa"/>
            <w:vAlign w:val="bottom"/>
          </w:tcPr>
          <w:p>
            <w:pPr>
              <w:spacing w:after="0"/>
              <w:rPr>
                <w:sz w:val="11"/>
                <w:szCs w:val="11"/>
                <w:color w:val="auto"/>
              </w:rPr>
            </w:pPr>
          </w:p>
        </w:tc>
      </w:tr>
      <w:tr>
        <w:trPr>
          <w:trHeight w:val="185"/>
        </w:trPr>
        <w:tc>
          <w:tcPr>
            <w:tcW w:w="5040" w:type="dxa"/>
            <w:vAlign w:val="bottom"/>
          </w:tcPr>
          <w:p>
            <w:pPr>
              <w:jc w:val="right"/>
              <w:ind w:right="4074"/>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6"/>
                <w:szCs w:val="16"/>
                <w:color w:val="auto"/>
              </w:rPr>
            </w:pPr>
          </w:p>
        </w:tc>
      </w:tr>
      <w:tr>
        <w:trPr>
          <w:trHeight w:val="196"/>
        </w:trPr>
        <w:tc>
          <w:tcPr>
            <w:tcW w:w="5040" w:type="dxa"/>
            <w:vAlign w:val="bottom"/>
            <w:shd w:val="clear" w:color="auto" w:fill="CFF0FC"/>
          </w:tcPr>
          <w:p>
            <w:pPr>
              <w:jc w:val="right"/>
              <w:ind w:right="3354"/>
              <w:spacing w:after="0" w:line="196" w:lineRule="exact"/>
              <w:rPr>
                <w:sz w:val="20"/>
                <w:szCs w:val="20"/>
                <w:color w:val="auto"/>
              </w:rPr>
            </w:pPr>
            <w:r>
              <w:rPr>
                <w:rFonts w:ascii="Arial" w:cs="Arial" w:eastAsia="Arial" w:hAnsi="Arial"/>
                <w:sz w:val="18"/>
                <w:szCs w:val="18"/>
                <w:color w:val="auto"/>
                <w:w w:val="92"/>
              </w:rPr>
              <w:t>Amounts maturing in:</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jc w:val="right"/>
              <w:ind w:right="3594"/>
              <w:spacing w:after="0" w:line="202" w:lineRule="exact"/>
              <w:rPr>
                <w:sz w:val="20"/>
                <w:szCs w:val="20"/>
                <w:color w:val="auto"/>
              </w:rPr>
            </w:pPr>
            <w:r>
              <w:rPr>
                <w:rFonts w:ascii="Arial" w:cs="Arial" w:eastAsia="Arial" w:hAnsi="Arial"/>
                <w:sz w:val="18"/>
                <w:szCs w:val="18"/>
                <w:color w:val="auto"/>
              </w:rPr>
              <w:t>One year or less</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3,922</w:t>
            </w:r>
          </w:p>
        </w:tc>
        <w:tc>
          <w:tcPr>
            <w:tcW w:w="3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3,918</w:t>
            </w:r>
          </w:p>
        </w:tc>
        <w:tc>
          <w:tcPr>
            <w:tcW w:w="80" w:type="dxa"/>
            <w:vAlign w:val="bottom"/>
          </w:tcPr>
          <w:p>
            <w:pPr>
              <w:spacing w:after="0"/>
              <w:rPr>
                <w:sz w:val="17"/>
                <w:szCs w:val="17"/>
                <w:color w:val="auto"/>
              </w:rPr>
            </w:pPr>
          </w:p>
        </w:tc>
      </w:tr>
      <w:tr>
        <w:trPr>
          <w:trHeight w:val="203"/>
        </w:trPr>
        <w:tc>
          <w:tcPr>
            <w:tcW w:w="5040" w:type="dxa"/>
            <w:vAlign w:val="bottom"/>
            <w:tcBorders>
              <w:bottom w:val="single" w:sz="8" w:color="CFF0FC"/>
            </w:tcBorders>
            <w:shd w:val="clear" w:color="auto" w:fill="CFF0FC"/>
          </w:tcPr>
          <w:p>
            <w:pPr>
              <w:jc w:val="right"/>
              <w:ind w:right="3354"/>
              <w:spacing w:after="0" w:line="202" w:lineRule="exact"/>
              <w:rPr>
                <w:sz w:val="20"/>
                <w:szCs w:val="20"/>
                <w:color w:val="auto"/>
              </w:rPr>
            </w:pPr>
            <w:r>
              <w:rPr>
                <w:rFonts w:ascii="Arial" w:cs="Arial" w:eastAsia="Arial" w:hAnsi="Arial"/>
                <w:sz w:val="18"/>
                <w:szCs w:val="18"/>
                <w:color w:val="auto"/>
              </w:rPr>
              <w:t>More than one year</w:t>
            </w:r>
          </w:p>
        </w:tc>
        <w:tc>
          <w:tcPr>
            <w:tcW w:w="2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15,146</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15,110</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040" w:type="dxa"/>
            <w:vAlign w:val="bottom"/>
          </w:tcPr>
          <w:p>
            <w:pPr>
              <w:jc w:val="right"/>
              <w:ind w:right="3314"/>
              <w:spacing w:after="0" w:line="196" w:lineRule="exact"/>
              <w:rPr>
                <w:sz w:val="20"/>
                <w:szCs w:val="20"/>
                <w:color w:val="auto"/>
              </w:rPr>
            </w:pPr>
            <w:r>
              <w:rPr>
                <w:rFonts w:ascii="Arial" w:cs="Arial" w:eastAsia="Arial" w:hAnsi="Arial"/>
                <w:sz w:val="18"/>
                <w:szCs w:val="18"/>
                <w:color w:val="auto"/>
              </w:rPr>
              <w:t>Total investments</w:t>
            </w: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19,068</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19,028</w:t>
            </w: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-142240</wp:posOffset>
            </wp:positionV>
            <wp:extent cx="4318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-142240</wp:posOffset>
            </wp:positionV>
            <wp:extent cx="4318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95" w:lineRule="exact"/>
        <w:rPr>
          <w:sz w:val="20"/>
          <w:szCs w:val="20"/>
          <w:color w:val="auto"/>
        </w:rPr>
      </w:pPr>
    </w:p>
    <w:p>
      <w:pPr>
        <w:ind w:right="200" w:firstLine="509"/>
        <w:spacing w:after="0" w:line="324" w:lineRule="auto"/>
        <w:rPr>
          <w:sz w:val="20"/>
          <w:szCs w:val="20"/>
          <w:color w:val="auto"/>
        </w:rPr>
      </w:pPr>
      <w:r>
        <w:rPr>
          <w:rFonts w:ascii="Arial" w:cs="Arial" w:eastAsia="Arial" w:hAnsi="Arial"/>
          <w:sz w:val="16"/>
          <w:szCs w:val="16"/>
          <w:color w:val="auto"/>
        </w:rPr>
        <w:t>The Company recorded interest income of $0.2 million and $1.3 million, respectively, during the years ended December 31, 2021, and 2020, as a component of interest and other income (expense), net on the Company’s consolidated statement of operations and comprehensive loss.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liabilities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consisted of the following as of December 31:</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1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96"/>
        </w:trPr>
        <w:tc>
          <w:tcPr>
            <w:tcW w:w="5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compensation</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6,329</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7,274</w:t>
            </w:r>
          </w:p>
        </w:tc>
        <w:tc>
          <w:tcPr>
            <w:tcW w:w="60" w:type="dxa"/>
            <w:vAlign w:val="bottom"/>
            <w:shd w:val="clear" w:color="auto" w:fill="CFF0FC"/>
          </w:tcPr>
          <w:p>
            <w:pPr>
              <w:spacing w:after="0"/>
              <w:rPr>
                <w:sz w:val="17"/>
                <w:szCs w:val="17"/>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Accrued payables</w:t>
            </w: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17,554</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8,554</w:t>
            </w:r>
          </w:p>
        </w:tc>
        <w:tc>
          <w:tcPr>
            <w:tcW w:w="60" w:type="dxa"/>
            <w:vAlign w:val="bottom"/>
          </w:tcPr>
          <w:p>
            <w:pPr>
              <w:spacing w:after="0"/>
              <w:rPr>
                <w:sz w:val="17"/>
                <w:szCs w:val="17"/>
                <w:color w:val="auto"/>
              </w:rPr>
            </w:pPr>
          </w:p>
        </w:tc>
      </w:tr>
      <w:tr>
        <w:trPr>
          <w:trHeight w:val="203"/>
        </w:trPr>
        <w:tc>
          <w:tcPr>
            <w:tcW w:w="5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Liability for early exercised stock options</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276</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569</w:t>
            </w:r>
          </w:p>
        </w:tc>
        <w:tc>
          <w:tcPr>
            <w:tcW w:w="60" w:type="dxa"/>
            <w:vAlign w:val="bottom"/>
            <w:shd w:val="clear" w:color="auto" w:fill="CFF0FC"/>
          </w:tcPr>
          <w:p>
            <w:pPr>
              <w:spacing w:after="0"/>
              <w:rPr>
                <w:sz w:val="17"/>
                <w:szCs w:val="17"/>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1,235</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167</w:t>
            </w:r>
          </w:p>
        </w:tc>
        <w:tc>
          <w:tcPr>
            <w:tcW w:w="60" w:type="dxa"/>
            <w:vAlign w:val="bottom"/>
          </w:tcPr>
          <w:p>
            <w:pPr>
              <w:spacing w:after="0"/>
              <w:rPr>
                <w:sz w:val="17"/>
                <w:szCs w:val="17"/>
                <w:color w:val="auto"/>
              </w:rPr>
            </w:pPr>
          </w:p>
        </w:tc>
      </w:tr>
      <w:tr>
        <w:trPr>
          <w:trHeight w:val="196"/>
        </w:trPr>
        <w:tc>
          <w:tcPr>
            <w:tcW w:w="512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25,394</w:t>
            </w: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16,564</w:t>
            </w:r>
          </w:p>
        </w:tc>
        <w:tc>
          <w:tcPr>
            <w:tcW w:w="6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-5080</wp:posOffset>
            </wp:positionV>
            <wp:extent cx="4318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-5080</wp:posOffset>
            </wp:positionV>
            <wp:extent cx="4318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08"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The Company has operating and finance leases for corporate offices, research and development facilities, and certain vehicles and lab equipment. These leases have remaining lease terms of four to six years, some of which</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2" w:right="419" w:bottom="1440" w:gutter="0" w:footer="0" w:header="0"/>
        </w:sectPr>
      </w:pPr>
    </w:p>
    <w:bookmarkStart w:id="136" w:name="page137"/>
    <w:bookmarkEnd w:id="136"/>
    <w:p>
      <w:pPr>
        <w:ind w:right="140"/>
        <w:spacing w:after="0" w:line="276" w:lineRule="auto"/>
        <w:rPr>
          <w:sz w:val="20"/>
          <w:szCs w:val="20"/>
          <w:color w:val="auto"/>
        </w:rPr>
      </w:pPr>
      <w:r>
        <w:rPr>
          <w:rFonts w:ascii="Arial" w:cs="Arial" w:eastAsia="Arial" w:hAnsi="Arial"/>
          <w:sz w:val="16"/>
          <w:szCs w:val="16"/>
          <w:color w:val="auto"/>
        </w:rPr>
        <w:t>include options to extend the leases for five to eight years. The Company has determined that it is not reasonably certain to exercise the options under any leases. The lease of research and development facilities includes costs for utilities and common area maintenance which have been included in the calculation of lease payments. Differences between lease payments as measured at lease inception and variations in monthly payments will be recognized as operating expenses in the period in which the obligation is incurred. The Company entered into a new 5-year lease in the fourth quarter of 2021. The lease is for approximately 12,000 square feet of office space in South San Francisco to accommodate growth, with a renewal option for an additional 5-years, which we are not certain to renew at this time. The rental payments under the lease agreement are approximately $2.5 million over the lease term.</w:t>
      </w:r>
    </w:p>
    <w:p>
      <w:pPr>
        <w:spacing w:after="0" w:line="16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Leases with an initial term of 12 months or less are not recorded on the balance sheet, and the Company recognizes lease expense for these leases on a straight-line basis over the lease terms. Leases with terms greater than 12 months are included in operating lease ROU assets and operating lease liabilities in the Company’s consolidated balance sheets as of December 31, 2021 and 2020. Lease expense for lease payments is recognized on a straight-line basis over the lease term.</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Maturities of lease liabilities as of December 31,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5075555</wp:posOffset>
            </wp:positionH>
            <wp:positionV relativeFrom="paragraph">
              <wp:posOffset>147955</wp:posOffset>
            </wp:positionV>
            <wp:extent cx="102235" cy="2400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2235" cy="240030"/>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147955</wp:posOffset>
            </wp:positionV>
            <wp:extent cx="93980" cy="2400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3980" cy="240030"/>
                    </a:xfrm>
                    <a:prstGeom prst="rect">
                      <a:avLst/>
                    </a:prstGeom>
                    <a:noFill/>
                  </pic:spPr>
                </pic:pic>
              </a:graphicData>
            </a:graphic>
          </wp:anchor>
        </w:drawing>
      </w:r>
    </w:p>
    <w:p>
      <w:pPr>
        <w:spacing w:after="0" w:line="213" w:lineRule="exact"/>
        <w:rPr>
          <w:sz w:val="20"/>
          <w:szCs w:val="20"/>
          <w:color w:val="auto"/>
        </w:rPr>
      </w:pPr>
    </w:p>
    <w:tbl>
      <w:tblPr>
        <w:tblLayout w:type="fixed"/>
        <w:tblInd w:w="1700" w:type="dxa"/>
        <w:tblCellMar>
          <w:top w:w="0" w:type="dxa"/>
          <w:left w:w="0" w:type="dxa"/>
          <w:bottom w:w="0" w:type="dxa"/>
          <w:right w:w="0" w:type="dxa"/>
        </w:tblCellMar>
      </w:tblPr>
      <w:tr>
        <w:trPr>
          <w:trHeight w:val="153"/>
        </w:trPr>
        <w:tc>
          <w:tcPr>
            <w:tcW w:w="500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273"/>
              <w:spacing w:after="0" w:line="153" w:lineRule="exact"/>
              <w:rPr>
                <w:sz w:val="20"/>
                <w:szCs w:val="20"/>
                <w:color w:val="auto"/>
              </w:rPr>
            </w:pPr>
            <w:r>
              <w:rPr>
                <w:rFonts w:ascii="Arial" w:cs="Arial" w:eastAsia="Arial" w:hAnsi="Arial"/>
                <w:sz w:val="14"/>
                <w:szCs w:val="14"/>
                <w:b w:val="1"/>
                <w:bCs w:val="1"/>
                <w:color w:val="auto"/>
              </w:rPr>
              <w:t>Operating</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273"/>
              <w:spacing w:after="0" w:line="153" w:lineRule="exact"/>
              <w:rPr>
                <w:sz w:val="20"/>
                <w:szCs w:val="20"/>
                <w:color w:val="auto"/>
              </w:rPr>
            </w:pPr>
            <w:r>
              <w:rPr>
                <w:rFonts w:ascii="Arial" w:cs="Arial" w:eastAsia="Arial" w:hAnsi="Arial"/>
                <w:sz w:val="14"/>
                <w:szCs w:val="14"/>
                <w:b w:val="1"/>
                <w:bCs w:val="1"/>
                <w:color w:val="auto"/>
              </w:rPr>
              <w:t>Finance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Lease</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196"/>
        </w:trPr>
        <w:tc>
          <w:tcPr>
            <w:tcW w:w="5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Year ending December 31:</w:t>
            </w:r>
          </w:p>
        </w:tc>
        <w:tc>
          <w:tcPr>
            <w:tcW w:w="2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2022</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3,116</w:t>
            </w:r>
          </w:p>
        </w:tc>
        <w:tc>
          <w:tcPr>
            <w:tcW w:w="120" w:type="dxa"/>
            <w:vAlign w:val="bottom"/>
          </w:tcPr>
          <w:p>
            <w:pPr>
              <w:spacing w:after="0"/>
              <w:rPr>
                <w:sz w:val="17"/>
                <w:szCs w:val="17"/>
                <w:color w:val="auto"/>
              </w:rPr>
            </w:pPr>
          </w:p>
        </w:tc>
        <w:tc>
          <w:tcPr>
            <w:tcW w:w="3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2023</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3,361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2024</w:t>
            </w: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3,305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3,418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2026</w:t>
            </w: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3,534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Thereafter</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0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17,847</w:t>
            </w: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442</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imputed interest</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(3,791 )</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196"/>
        </w:trPr>
        <w:tc>
          <w:tcPr>
            <w:tcW w:w="50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Present value of lease liabilities</w:t>
            </w: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14,056</w:t>
            </w: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399</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current portion</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(2,769 )</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196"/>
        </w:trPr>
        <w:tc>
          <w:tcPr>
            <w:tcW w:w="50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Lease liabilities net of current portion</w:t>
            </w: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11,287</w:t>
            </w: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261</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-673735</wp:posOffset>
            </wp:positionV>
            <wp:extent cx="7683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-673735</wp:posOffset>
            </wp:positionV>
            <wp:extent cx="6858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-407670</wp:posOffset>
            </wp:positionV>
            <wp:extent cx="76835"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-407670</wp:posOffset>
            </wp:positionV>
            <wp:extent cx="6858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-142240</wp:posOffset>
            </wp:positionV>
            <wp:extent cx="76835"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-142240</wp:posOffset>
            </wp:positionV>
            <wp:extent cx="6858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were as follows for the years ended December 31, 2021 and 2020:</w:t>
      </w:r>
    </w:p>
    <w:p>
      <w:pPr>
        <w:spacing w:after="0" w:line="244"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0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196"/>
        </w:trPr>
        <w:tc>
          <w:tcPr>
            <w:tcW w:w="50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Operating lease cost</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1,990</w:t>
            </w:r>
          </w:p>
        </w:tc>
        <w:tc>
          <w:tcPr>
            <w:tcW w:w="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1,847</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080" w:type="dxa"/>
            <w:vAlign w:val="bottom"/>
          </w:tcPr>
          <w:p>
            <w:pPr>
              <w:spacing w:after="0" w:line="196" w:lineRule="exact"/>
              <w:rPr>
                <w:sz w:val="20"/>
                <w:szCs w:val="20"/>
                <w:color w:val="auto"/>
              </w:rPr>
            </w:pPr>
            <w:r>
              <w:rPr>
                <w:rFonts w:ascii="Arial" w:cs="Arial" w:eastAsia="Arial" w:hAnsi="Arial"/>
                <w:sz w:val="18"/>
                <w:szCs w:val="18"/>
                <w:color w:val="auto"/>
              </w:rPr>
              <w:t>Finance lease cost:</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0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Amortization of right-of-use assets</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7"/>
                <w:szCs w:val="17"/>
                <w:color w:val="auto"/>
              </w:rPr>
            </w:pPr>
          </w:p>
        </w:tc>
      </w:tr>
      <w:tr>
        <w:trPr>
          <w:trHeight w:val="203"/>
        </w:trPr>
        <w:tc>
          <w:tcPr>
            <w:tcW w:w="5080" w:type="dxa"/>
            <w:vAlign w:val="bottom"/>
          </w:tcPr>
          <w:p>
            <w:pPr>
              <w:ind w:left="100"/>
              <w:spacing w:after="0" w:line="202" w:lineRule="exact"/>
              <w:rPr>
                <w:sz w:val="20"/>
                <w:szCs w:val="20"/>
                <w:color w:val="auto"/>
              </w:rPr>
            </w:pPr>
            <w:r>
              <w:rPr>
                <w:rFonts w:ascii="Arial" w:cs="Arial" w:eastAsia="Arial" w:hAnsi="Arial"/>
                <w:sz w:val="18"/>
                <w:szCs w:val="18"/>
                <w:color w:val="auto"/>
              </w:rPr>
              <w:t>Interest on lease liabilities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7"/>
                <w:szCs w:val="17"/>
                <w:color w:val="auto"/>
              </w:rPr>
            </w:pPr>
          </w:p>
        </w:tc>
      </w:tr>
      <w:tr>
        <w:trPr>
          <w:trHeight w:val="196"/>
        </w:trPr>
        <w:tc>
          <w:tcPr>
            <w:tcW w:w="508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finance lease cost</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w:t>
            </w:r>
          </w:p>
        </w:tc>
        <w:tc>
          <w:tcPr>
            <w:tcW w:w="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080" w:type="dxa"/>
            <w:vAlign w:val="bottom"/>
          </w:tcPr>
          <w:p>
            <w:pPr>
              <w:spacing w:after="0" w:line="196" w:lineRule="exact"/>
              <w:rPr>
                <w:sz w:val="20"/>
                <w:szCs w:val="20"/>
                <w:color w:val="auto"/>
              </w:rPr>
            </w:pPr>
            <w:r>
              <w:rPr>
                <w:rFonts w:ascii="Arial" w:cs="Arial" w:eastAsia="Arial" w:hAnsi="Arial"/>
                <w:sz w:val="18"/>
                <w:szCs w:val="18"/>
                <w:color w:val="auto"/>
              </w:rPr>
              <w:t>Short-term lease cost</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w:t>
            </w:r>
          </w:p>
        </w:tc>
        <w:tc>
          <w:tcPr>
            <w:tcW w:w="18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w:t>
            </w: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-673735</wp:posOffset>
            </wp:positionV>
            <wp:extent cx="5143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-673735</wp:posOffset>
            </wp:positionV>
            <wp:extent cx="4318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-142240</wp:posOffset>
            </wp:positionV>
            <wp:extent cx="51435"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-142240</wp:posOffset>
            </wp:positionV>
            <wp:extent cx="4318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36" w:lineRule="exact"/>
        <w:rPr>
          <w:sz w:val="20"/>
          <w:szCs w:val="20"/>
          <w:color w:val="auto"/>
        </w:rPr>
      </w:pPr>
    </w:p>
    <w:p>
      <w:pPr>
        <w:ind w:right="520" w:firstLine="509"/>
        <w:spacing w:after="0" w:line="261" w:lineRule="auto"/>
        <w:rPr>
          <w:sz w:val="20"/>
          <w:szCs w:val="20"/>
          <w:color w:val="auto"/>
        </w:rPr>
      </w:pPr>
      <w:r>
        <w:rPr>
          <w:rFonts w:ascii="Arial" w:cs="Arial" w:eastAsia="Arial" w:hAnsi="Arial"/>
          <w:sz w:val="18"/>
          <w:szCs w:val="18"/>
          <w:color w:val="auto"/>
        </w:rPr>
        <w:t>The Company made payments of $2.8 million and $2.5 million during the years ended December 31, 2021, and 2020, respectively, which are included as cash flow from operations on the consolidated statements of cash flows.</w:t>
      </w:r>
    </w:p>
    <w:p>
      <w:pPr>
        <w:spacing w:after="0" w:line="171"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As of December 31, 2021 and 2020, $608,000 and $296,000 of finance lease ROU assets, respectively, were presented as part of property and equipment on the consolidated balance sheet with accumulated amortization of $214,000 and $107,000, respectively.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37" w:name="page138"/>
    <w:bookmarkEnd w:id="137"/>
    <w:p>
      <w:pPr>
        <w:ind w:left="520"/>
        <w:spacing w:after="0"/>
        <w:rPr>
          <w:sz w:val="20"/>
          <w:szCs w:val="20"/>
          <w:color w:val="auto"/>
        </w:rPr>
      </w:pPr>
      <w:r>
        <w:rPr>
          <w:rFonts w:ascii="Arial" w:cs="Arial" w:eastAsia="Arial" w:hAnsi="Arial"/>
          <w:sz w:val="18"/>
          <w:szCs w:val="18"/>
          <w:color w:val="auto"/>
        </w:rPr>
        <w:t>Additional information related to the Company’s leases was as follows as of December 31:</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740" w:type="dxa"/>
            <w:vAlign w:val="bottom"/>
            <w:gridSpan w:val="2"/>
          </w:tcPr>
          <w:p>
            <w:pPr>
              <w:ind w:left="5420"/>
              <w:spacing w:after="0"/>
              <w:rPr>
                <w:sz w:val="20"/>
                <w:szCs w:val="20"/>
                <w:color w:val="auto"/>
              </w:rPr>
            </w:pPr>
            <w:r>
              <w:rPr>
                <w:rFonts w:ascii="Arial" w:cs="Arial" w:eastAsia="Arial" w:hAnsi="Arial"/>
                <w:sz w:val="14"/>
                <w:szCs w:val="14"/>
                <w:b w:val="1"/>
                <w:bCs w:val="1"/>
                <w:color w:val="auto"/>
                <w:w w:val="96"/>
              </w:rPr>
              <w:t>2021</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ind w:left="380"/>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6"/>
                <w:szCs w:val="16"/>
                <w:color w:val="auto"/>
              </w:rPr>
            </w:pPr>
          </w:p>
        </w:tc>
      </w:tr>
      <w:tr>
        <w:trPr>
          <w:trHeight w:val="196"/>
        </w:trPr>
        <w:tc>
          <w:tcPr>
            <w:tcW w:w="5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Lease:</w:t>
            </w:r>
          </w:p>
        </w:tc>
        <w:tc>
          <w:tcPr>
            <w:tcW w:w="72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r>
      <w:tr>
        <w:trPr>
          <w:trHeight w:val="203"/>
        </w:trPr>
        <w:tc>
          <w:tcPr>
            <w:tcW w:w="57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Weighted-average remaining lease term (years)</w:t>
            </w:r>
          </w:p>
        </w:tc>
        <w:tc>
          <w:tcPr>
            <w:tcW w:w="360" w:type="dxa"/>
            <w:vAlign w:val="bottom"/>
          </w:tcPr>
          <w:p>
            <w:pPr>
              <w:ind w:left="20"/>
              <w:spacing w:after="0" w:line="202" w:lineRule="exact"/>
              <w:rPr>
                <w:sz w:val="20"/>
                <w:szCs w:val="20"/>
                <w:color w:val="auto"/>
              </w:rPr>
            </w:pPr>
            <w:r>
              <w:rPr>
                <w:rFonts w:ascii="Arial" w:cs="Arial" w:eastAsia="Arial" w:hAnsi="Arial"/>
                <w:sz w:val="18"/>
                <w:szCs w:val="18"/>
                <w:color w:val="auto"/>
                <w:w w:val="91"/>
              </w:rPr>
              <w:t>5.18</w:t>
            </w:r>
          </w:p>
        </w:tc>
        <w:tc>
          <w:tcPr>
            <w:tcW w:w="400" w:type="dxa"/>
            <w:vAlign w:val="bottom"/>
          </w:tcPr>
          <w:p>
            <w:pPr>
              <w:spacing w:after="0"/>
              <w:rPr>
                <w:sz w:val="17"/>
                <w:szCs w:val="17"/>
                <w:color w:val="auto"/>
              </w:rPr>
            </w:pPr>
          </w:p>
        </w:tc>
        <w:tc>
          <w:tcPr>
            <w:tcW w:w="1060" w:type="dxa"/>
            <w:vAlign w:val="bottom"/>
          </w:tcPr>
          <w:p>
            <w:pPr>
              <w:ind w:left="720"/>
              <w:spacing w:after="0" w:line="202" w:lineRule="exact"/>
              <w:rPr>
                <w:sz w:val="20"/>
                <w:szCs w:val="20"/>
                <w:color w:val="auto"/>
              </w:rPr>
            </w:pPr>
            <w:r>
              <w:rPr>
                <w:rFonts w:ascii="Arial" w:cs="Arial" w:eastAsia="Arial" w:hAnsi="Arial"/>
                <w:sz w:val="18"/>
                <w:szCs w:val="18"/>
                <w:color w:val="auto"/>
                <w:w w:val="91"/>
              </w:rPr>
              <w:t>5.97</w:t>
            </w:r>
          </w:p>
        </w:tc>
        <w:tc>
          <w:tcPr>
            <w:tcW w:w="300" w:type="dxa"/>
            <w:vAlign w:val="bottom"/>
          </w:tcPr>
          <w:p>
            <w:pPr>
              <w:spacing w:after="0"/>
              <w:rPr>
                <w:sz w:val="17"/>
                <w:szCs w:val="17"/>
                <w:color w:val="auto"/>
              </w:rPr>
            </w:pPr>
          </w:p>
        </w:tc>
      </w:tr>
      <w:tr>
        <w:trPr>
          <w:trHeight w:val="203"/>
        </w:trPr>
        <w:tc>
          <w:tcPr>
            <w:tcW w:w="57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Weighted-average discount rate</w:t>
            </w:r>
          </w:p>
        </w:tc>
        <w:tc>
          <w:tcPr>
            <w:tcW w:w="7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9.08 %</w:t>
            </w:r>
          </w:p>
        </w:tc>
        <w:tc>
          <w:tcPr>
            <w:tcW w:w="1360" w:type="dxa"/>
            <w:vAlign w:val="bottom"/>
            <w:gridSpan w:val="2"/>
            <w:shd w:val="clear" w:color="auto" w:fill="CFF0FC"/>
          </w:tcPr>
          <w:p>
            <w:pPr>
              <w:ind w:left="720"/>
              <w:spacing w:after="0" w:line="202" w:lineRule="exact"/>
              <w:rPr>
                <w:sz w:val="20"/>
                <w:szCs w:val="20"/>
                <w:color w:val="auto"/>
              </w:rPr>
            </w:pPr>
            <w:r>
              <w:rPr>
                <w:rFonts w:ascii="Arial" w:cs="Arial" w:eastAsia="Arial" w:hAnsi="Arial"/>
                <w:sz w:val="18"/>
                <w:szCs w:val="18"/>
                <w:color w:val="auto"/>
              </w:rPr>
              <w:t>9.35 %</w:t>
            </w: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Finance Lease:</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57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Weighted-average remaining lease term (years)</w:t>
            </w:r>
          </w:p>
        </w:tc>
        <w:tc>
          <w:tcPr>
            <w:tcW w:w="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1"/>
              </w:rPr>
              <w:t>3.83</w:t>
            </w:r>
          </w:p>
        </w:tc>
        <w:tc>
          <w:tcPr>
            <w:tcW w:w="400" w:type="dxa"/>
            <w:vAlign w:val="bottom"/>
            <w:shd w:val="clear" w:color="auto" w:fill="CFF0FC"/>
          </w:tcPr>
          <w:p>
            <w:pPr>
              <w:spacing w:after="0"/>
              <w:rPr>
                <w:sz w:val="17"/>
                <w:szCs w:val="17"/>
                <w:color w:val="auto"/>
              </w:rPr>
            </w:pPr>
          </w:p>
        </w:tc>
        <w:tc>
          <w:tcPr>
            <w:tcW w:w="1060" w:type="dxa"/>
            <w:vAlign w:val="bottom"/>
            <w:shd w:val="clear" w:color="auto" w:fill="CFF0FC"/>
          </w:tcPr>
          <w:p>
            <w:pPr>
              <w:ind w:left="720"/>
              <w:spacing w:after="0" w:line="202" w:lineRule="exact"/>
              <w:rPr>
                <w:sz w:val="20"/>
                <w:szCs w:val="20"/>
                <w:color w:val="auto"/>
              </w:rPr>
            </w:pPr>
            <w:r>
              <w:rPr>
                <w:rFonts w:ascii="Arial" w:cs="Arial" w:eastAsia="Arial" w:hAnsi="Arial"/>
                <w:sz w:val="18"/>
                <w:szCs w:val="18"/>
                <w:color w:val="auto"/>
                <w:w w:val="91"/>
              </w:rPr>
              <w:t>2.68</w:t>
            </w:r>
          </w:p>
        </w:tc>
        <w:tc>
          <w:tcPr>
            <w:tcW w:w="300" w:type="dxa"/>
            <w:vAlign w:val="bottom"/>
            <w:shd w:val="clear" w:color="auto" w:fill="CFF0FC"/>
          </w:tcPr>
          <w:p>
            <w:pPr>
              <w:spacing w:after="0"/>
              <w:rPr>
                <w:sz w:val="17"/>
                <w:szCs w:val="17"/>
                <w:color w:val="auto"/>
              </w:rPr>
            </w:pPr>
          </w:p>
        </w:tc>
      </w:tr>
      <w:tr>
        <w:trPr>
          <w:trHeight w:val="230"/>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Weighted-average discount rate</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4.86 %</w:t>
            </w:r>
          </w:p>
        </w:tc>
        <w:tc>
          <w:tcPr>
            <w:tcW w:w="1360" w:type="dxa"/>
            <w:vAlign w:val="bottom"/>
            <w:gridSpan w:val="2"/>
          </w:tcPr>
          <w:p>
            <w:pPr>
              <w:ind w:left="720"/>
              <w:spacing w:after="0"/>
              <w:rPr>
                <w:sz w:val="20"/>
                <w:szCs w:val="20"/>
                <w:color w:val="auto"/>
              </w:rPr>
            </w:pPr>
            <w:r>
              <w:rPr>
                <w:rFonts w:ascii="Arial" w:cs="Arial" w:eastAsia="Arial" w:hAnsi="Arial"/>
                <w:sz w:val="18"/>
                <w:szCs w:val="18"/>
                <w:color w:val="auto"/>
              </w:rPr>
              <w:t>3.15 %</w:t>
            </w:r>
          </w:p>
        </w:tc>
      </w:tr>
    </w:tbl>
    <w:p>
      <w:pPr>
        <w:spacing w:after="0" w:line="75" w:lineRule="exact"/>
        <w:rPr>
          <w:sz w:val="20"/>
          <w:szCs w:val="20"/>
          <w:color w:val="auto"/>
        </w:rPr>
      </w:pPr>
    </w:p>
    <w:p>
      <w:pPr>
        <w:ind w:right="5480" w:firstLine="8"/>
        <w:spacing w:after="0" w:line="362" w:lineRule="auto"/>
        <w:tabs>
          <w:tab w:leader="none" w:pos="1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Derivative liabilities and redeemable convertible preferred stock liability </w:t>
      </w:r>
      <w:r>
        <w:rPr>
          <w:rFonts w:ascii="Arial" w:cs="Arial" w:eastAsia="Arial" w:hAnsi="Arial"/>
          <w:sz w:val="18"/>
          <w:szCs w:val="18"/>
          <w:b w:val="1"/>
          <w:bCs w:val="1"/>
          <w:i w:val="1"/>
          <w:iCs w:val="1"/>
          <w:color w:val="auto"/>
        </w:rPr>
        <w:t>Warrants</w:t>
      </w:r>
    </w:p>
    <w:p>
      <w:pPr>
        <w:spacing w:after="0" w:line="1"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In connection with the issuance of the Notes, Lenders were issued Warrants to purchase 134,112 shares of the Company’s capital stock. The Warrants have a coverage percentage of 25% of the principal amount of the Notes and have a ten-year expiration date from the applicable closing date of April 20, 2018 or June 6, 2018.</w:t>
      </w:r>
    </w:p>
    <w:p>
      <w:pPr>
        <w:spacing w:after="0" w:line="74"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color w:val="auto"/>
        </w:rPr>
        <w:t>The underlying shares issuable upon the exercise of the Warrants were eligible to be converted into the next round of equity financing. The Warrants became exercisable into shares of Series A for an exercise price of $9.32 per share.</w:t>
      </w:r>
    </w:p>
    <w:p>
      <w:pPr>
        <w:spacing w:after="0" w:line="48" w:lineRule="exact"/>
        <w:rPr>
          <w:sz w:val="20"/>
          <w:szCs w:val="20"/>
          <w:color w:val="auto"/>
        </w:rPr>
      </w:pPr>
    </w:p>
    <w:p>
      <w:pPr>
        <w:ind w:right="260" w:firstLine="509"/>
        <w:spacing w:after="0" w:line="262" w:lineRule="auto"/>
        <w:rPr>
          <w:sz w:val="20"/>
          <w:szCs w:val="20"/>
          <w:color w:val="auto"/>
        </w:rPr>
      </w:pPr>
      <w:r>
        <w:rPr>
          <w:rFonts w:ascii="Arial" w:cs="Arial" w:eastAsia="Arial" w:hAnsi="Arial"/>
          <w:sz w:val="17"/>
          <w:szCs w:val="17"/>
          <w:color w:val="auto"/>
        </w:rPr>
        <w:t>The Company recorded the Warrants initially at fair value (Note 10) as derivative liabilities on the consolidated balance sheet with the remaining value being allocated to the Notes as a debt discount. The fair value of the Warrants upon issuance on April 20, 2018 and June 6, 2018, was $0.7 million and $238,000, respectively. Due to the IPO in October 2020, all outstanding warrants as of December 31, 2020 were automatically exercised for the issuance of Common Stock, and following that exercise, such warrants were no longer outstanding.</w:t>
      </w:r>
    </w:p>
    <w:p>
      <w:pPr>
        <w:spacing w:after="0" w:line="64" w:lineRule="exact"/>
        <w:rPr>
          <w:sz w:val="20"/>
          <w:szCs w:val="20"/>
          <w:color w:val="auto"/>
        </w:rPr>
      </w:pPr>
    </w:p>
    <w:p>
      <w:pPr>
        <w:ind w:right="180" w:firstLine="509"/>
        <w:spacing w:after="0" w:line="270" w:lineRule="auto"/>
        <w:rPr>
          <w:sz w:val="20"/>
          <w:szCs w:val="20"/>
          <w:color w:val="auto"/>
        </w:rPr>
      </w:pPr>
      <w:r>
        <w:rPr>
          <w:rFonts w:ascii="Arial" w:cs="Arial" w:eastAsia="Arial" w:hAnsi="Arial"/>
          <w:sz w:val="17"/>
          <w:szCs w:val="17"/>
          <w:color w:val="auto"/>
        </w:rPr>
        <w:t>As Series A contains a conditional obligation for the Company to repurchase the shares for cash consideration, the Warrants remain outstanding as derivative liabilities with changes in fair value being recorded on the consolidated statements of operations and comprehensive loss. For the year ended December 31, 2020, the Company recorded a change in fair value of derivative liabilities $296,000.</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 liability</w:t>
      </w:r>
    </w:p>
    <w:p>
      <w:pPr>
        <w:spacing w:after="0" w:line="104"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 xml:space="preserve">In connection with the issuance of Series B-1 Redeemable Convertible Preferred Stock (the Series B-1) (Note 8), the Series B-1 preferred stockholders committed to purchase and the Company committed to sell 3,569,630 shares of Series B-2 Redeemable Convertible Preferred Stock (the Series B-2) at a price of $11.20563 per share in a subsequent closing, contingent upon the achievement of certain developmental milestones or a receipt of a waiver of achievement of the milestones. The Redeemable Convertible Preferred Stock Liability is considered a freestanding instrument that qualifies as a liability under ASC Topic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xml:space="preserve"> (ASC 480) as the Company is committed to issue an instrument that ultimately may require a transfer of assets. The liability is accounted for at fair value and re-measured at each reporting date (Note 10). On the date of the initial closing, the Company recorded the Redeemable Convertible Preferred Stock Liability at a fair value of $3.2 million.</w:t>
      </w:r>
    </w:p>
    <w:p>
      <w:pPr>
        <w:spacing w:after="0" w:line="72"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As of December 31, 2020, all Series B-2 shares were issued. As a result of the IPO, the Series B-2 shares converted to shares of common stock. The Company recorded a change in fair value of the liability of $11.4 million for the year ended December 31, 2020 included in interest and other (expense) income, net. The convertible preferred stock liability was retired as of the IPO.</w:t>
      </w:r>
    </w:p>
    <w:p>
      <w:pPr>
        <w:spacing w:after="0" w:line="56" w:lineRule="exact"/>
        <w:rPr>
          <w:sz w:val="20"/>
          <w:szCs w:val="20"/>
          <w:color w:val="auto"/>
        </w:rPr>
      </w:pPr>
    </w:p>
    <w:p>
      <w:pPr>
        <w:ind w:right="10040" w:firstLine="8"/>
        <w:spacing w:after="0" w:line="407" w:lineRule="auto"/>
        <w:tabs>
          <w:tab w:leader="none" w:pos="180"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stock </w:t>
      </w:r>
      <w:r>
        <w:rPr>
          <w:rFonts w:ascii="Arial" w:cs="Arial" w:eastAsia="Arial" w:hAnsi="Arial"/>
          <w:sz w:val="16"/>
          <w:szCs w:val="16"/>
          <w:b w:val="1"/>
          <w:bCs w:val="1"/>
          <w:i w:val="1"/>
          <w:iCs w:val="1"/>
          <w:color w:val="auto"/>
        </w:rPr>
        <w:t>Common stock</w:t>
      </w:r>
    </w:p>
    <w:p>
      <w:pPr>
        <w:spacing w:after="0" w:line="1"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On October 20, 2020, the certificate of incorporation was amended to increase the total shares of Common Stock authorized for issuance to 320,000,000 and decrease the total shares of preferred stock authorized for issuance to 10,000,000 with a par value of $0.0001 per share. 300,000,000 shares of the Common Stock were designated as “Voting Common Stock” and 20,000,000 shares of the Common Stock were designated as “Non-Voting Common Stock”.</w:t>
      </w:r>
    </w:p>
    <w:p>
      <w:pPr>
        <w:spacing w:after="0" w:line="8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The holders of shares of voting Common Stock are entitled to one vote for each share of Common Stock at all meetings of stockholders.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04"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On August 16, 2018, the Company entered into the Series A Preferred Stock Purchase Agreement for the purchase and sale of Series A preferred stock for $9.32 per share. The Company received $75.0 million in cash proceeds from the initial purchasers. On September 19, 2018, the Company received an additional $20.0 million in cash proceeds from subsequent purchasers. Additionally, on the initial closing date, $5.6 million in convertible notes plus accrued interest converted into shares of Series A and the notes were subsequently cancelled. The Warrants associated with the convertible notes became exercisable into Series A. Each share of Series A is convertible into Common Stock on a one-for-one basis. In connection with the issuance of Series A, the Company incurred $194,000 in issuance costs which have offset amounts reported as temporary equity as of December 31, 2019. As of December 31, 2020, in connection with the Company’s IPO, all shares of Series A converted into Common Stock.</w:t>
      </w:r>
    </w:p>
    <w:p>
      <w:pPr>
        <w:spacing w:after="0" w:line="180"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On December 23, 2019, the Company entered into the Series B-1 and Series B-2 Preferred Stock Purchase Agreement, pursuant to which the investors committed to invest an aggregate amount of up to $125.0 million for the issuance and sale of shares of Series B-1 and Series B-2 (collectively, the Series B), at a price of $10.18690 and $11.20563 per share, respectively. The Company issued 8,344,034 shares of Series B-1 for cash proceeds of $85.0 million at the initial closing on December 23, 2019. The investors also committed to purchase and the Company committed to sell 3,569,630 shares of Series B-2 in a subsequent closing (the Second Closing), contingent upon achievement by the Company of certain development milestones or a receipt of a waiver of achievement of the milestones. No shares of Series B-2 were issued as of December 31, 2019. In connection with the issuance of Series B-1, the Company incurred $442,000 in issuance costs which have offset amounts reported as temporary equity as of December 31, 2019.</w:t>
      </w:r>
    </w:p>
    <w:p>
      <w:pPr>
        <w:spacing w:after="0" w:line="163" w:lineRule="exact"/>
        <w:rPr>
          <w:sz w:val="20"/>
          <w:szCs w:val="20"/>
          <w:color w:val="auto"/>
        </w:rPr>
      </w:pPr>
    </w:p>
    <w:p>
      <w:pPr>
        <w:ind w:right="400" w:firstLine="509"/>
        <w:spacing w:after="0" w:line="282" w:lineRule="auto"/>
        <w:rPr>
          <w:sz w:val="20"/>
          <w:szCs w:val="20"/>
          <w:color w:val="auto"/>
        </w:rPr>
      </w:pPr>
      <w:r>
        <w:rPr>
          <w:rFonts w:ascii="Arial" w:cs="Arial" w:eastAsia="Arial" w:hAnsi="Arial"/>
          <w:sz w:val="16"/>
          <w:szCs w:val="16"/>
          <w:color w:val="auto"/>
        </w:rPr>
        <w:t>Prior to the IPO, the Company issued 3,569,630 shares of Series B-2, which upon the closing of the IPO converted into common stock. In connection with the Company’s IPO, all shares of Series B-1 converted into common stock. As of December 31, 2020, there was 10,000,000 shares of</w:t>
      </w:r>
    </w:p>
    <w:p>
      <w:pPr>
        <w:spacing w:after="0"/>
        <w:rPr>
          <w:sz w:val="20"/>
          <w:szCs w:val="20"/>
          <w:color w:val="auto"/>
        </w:rPr>
      </w:pPr>
      <w:r>
        <w:rPr>
          <w:rFonts w:ascii="Arial" w:cs="Arial" w:eastAsia="Arial" w:hAnsi="Arial"/>
          <w:sz w:val="18"/>
          <w:szCs w:val="18"/>
          <w:color w:val="auto"/>
        </w:rPr>
        <w:t>preferred stock authorized and no preferred stock issued.</w:t>
      </w:r>
    </w:p>
    <w:p>
      <w:pPr>
        <w:spacing w:after="0" w:line="112" w:lineRule="exact"/>
        <w:rPr>
          <w:sz w:val="20"/>
          <w:szCs w:val="20"/>
          <w:color w:val="auto"/>
        </w:rPr>
      </w:pPr>
    </w:p>
    <w:p>
      <w:pPr>
        <w:ind w:right="9000" w:firstLine="8"/>
        <w:spacing w:after="0" w:line="434" w:lineRule="auto"/>
        <w:tabs>
          <w:tab w:leader="none" w:pos="180" w:val="left"/>
        </w:tabs>
        <w:numPr>
          <w:ilvl w:val="0"/>
          <w:numId w:val="6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b w:val="1"/>
          <w:bCs w:val="1"/>
          <w:i w:val="1"/>
          <w:iCs w:val="1"/>
          <w:color w:val="auto"/>
        </w:rPr>
        <w:t>2018 Equity incentive plan</w:t>
      </w:r>
    </w:p>
    <w:p>
      <w:pPr>
        <w:spacing w:after="0" w:line="1" w:lineRule="exact"/>
        <w:rPr>
          <w:sz w:val="20"/>
          <w:szCs w:val="20"/>
          <w:color w:val="auto"/>
        </w:rPr>
      </w:pPr>
    </w:p>
    <w:p>
      <w:pPr>
        <w:ind w:right="200" w:firstLine="509"/>
        <w:spacing w:after="0" w:line="258" w:lineRule="auto"/>
        <w:rPr>
          <w:sz w:val="20"/>
          <w:szCs w:val="20"/>
          <w:color w:val="auto"/>
        </w:rPr>
      </w:pPr>
      <w:r>
        <w:rPr>
          <w:rFonts w:ascii="Arial" w:cs="Arial" w:eastAsia="Arial" w:hAnsi="Arial"/>
          <w:sz w:val="17"/>
          <w:szCs w:val="17"/>
          <w:color w:val="auto"/>
        </w:rPr>
        <w:t>The Company’s 2018 Equity Incentive Plan (the 2018 Plan) allows the Company to issue restricted stock awards and restricted stock units, and to grant incentive stock options or non-qualified stock options. Incentive stock options may be granted only to the Company’s employees including officers and members of the Board who are also employees. Restricted stock awards, restricted stock units and non-qualified stock options may be granted to employees, members of the Board, outside advisors, and consultants of the Company (the Participants). The Company is authorized to issue awards for 4,913,665 shares of Common Stock under the 2018 Plan. The Company has granted awards of common stock in the form of 4,279,693 shares as of December 31, 2021 with none remaining available for future grant. Following the Company’s IPO in October 2020, all remaining shares from the 2018 Plan will be available for issuance under the 2020 Plan (as defined below).</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Incentive award plan</w:t>
      </w:r>
    </w:p>
    <w:p>
      <w:pPr>
        <w:spacing w:after="0" w:line="104" w:lineRule="exact"/>
        <w:rPr>
          <w:sz w:val="20"/>
          <w:szCs w:val="20"/>
          <w:color w:val="auto"/>
        </w:rPr>
      </w:pPr>
    </w:p>
    <w:p>
      <w:pPr>
        <w:ind w:right="20" w:firstLine="749"/>
        <w:spacing w:after="0" w:line="243" w:lineRule="auto"/>
        <w:rPr>
          <w:sz w:val="20"/>
          <w:szCs w:val="20"/>
          <w:color w:val="auto"/>
        </w:rPr>
      </w:pPr>
      <w:r>
        <w:rPr>
          <w:rFonts w:ascii="Arial" w:cs="Arial" w:eastAsia="Arial" w:hAnsi="Arial"/>
          <w:sz w:val="18"/>
          <w:szCs w:val="18"/>
          <w:color w:val="auto"/>
        </w:rPr>
        <w:t>The Company adopted the 2020 Incentive Award Plan (the 2020 Plan) effective October 15, 2020. The 2020 Plan provides for a variety of stock-based compensation awards, including stock options, stock appreciation rights, or SARs, restricted stock awards, restricted stock unit awards, performance bonus awards, performance stock unit awards, dividend equivalents, or other stock or cash based awards. The Company has granted 3,867,000 shares subject to awards as of December 31, 2021 with 2,637,000 remaining available for future grant.</w:t>
      </w:r>
    </w:p>
    <w:p>
      <w:pPr>
        <w:spacing w:after="0" w:line="80"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Following the effectiveness of the 2020 Plan, the Company will not make any further grants under the 2018 Plan. However, the 2018 Plan will continue to govern the terms and conditions of the outstanding awards granted under this plan. Shares of common stock subject to awards granted under the 2018 Plan that are forfeited or lapse unexercised and which following the effective date of the 2020 Plan are not issued under the 2018 Plan will be available for issuance under the 2020 Plan.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04"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The Company adopted the 2020 Employee Stock Purchase Plan (the 2020 ESPP) effective on October 15, 2020. The 2020 ESPP enables eligible employees of the Company to purchase shares of common stock at a discount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39" w:name="page140"/>
    <w:bookmarkEnd w:id="139"/>
    <w:p>
      <w:pPr>
        <w:ind w:right="340"/>
        <w:spacing w:after="0" w:line="261" w:lineRule="auto"/>
        <w:rPr>
          <w:sz w:val="20"/>
          <w:szCs w:val="20"/>
          <w:color w:val="auto"/>
        </w:rPr>
      </w:pPr>
      <w:r>
        <w:rPr>
          <w:rFonts w:ascii="Arial" w:cs="Arial" w:eastAsia="Arial" w:hAnsi="Arial"/>
          <w:sz w:val="18"/>
          <w:szCs w:val="18"/>
          <w:color w:val="auto"/>
        </w:rPr>
        <w:t>to fair market value. The Company has initially reserved for issuance 368,901 shares of common stock pursuant to the 2020 ESPP. As of December 31, 2021, 45,610 grants of awards under this plan have been made.</w:t>
      </w:r>
    </w:p>
    <w:p>
      <w:pPr>
        <w:spacing w:after="0" w:line="63" w:lineRule="exact"/>
        <w:rPr>
          <w:sz w:val="20"/>
          <w:szCs w:val="20"/>
          <w:color w:val="auto"/>
        </w:rPr>
      </w:pPr>
    </w:p>
    <w:p>
      <w:pPr>
        <w:jc w:val="both"/>
        <w:ind w:right="320" w:firstLine="509"/>
        <w:spacing w:after="0" w:line="270" w:lineRule="auto"/>
        <w:rPr>
          <w:sz w:val="20"/>
          <w:szCs w:val="20"/>
          <w:color w:val="auto"/>
        </w:rPr>
      </w:pPr>
      <w:r>
        <w:rPr>
          <w:rFonts w:ascii="Arial" w:cs="Arial" w:eastAsia="Arial" w:hAnsi="Arial"/>
          <w:sz w:val="17"/>
          <w:szCs w:val="17"/>
          <w:color w:val="auto"/>
        </w:rPr>
        <w:t>During the year ended December 31, 2021, the Company's 2020 ESPP compensation expense was $0.9 million. The first purchase in connection with our employee stock purchase plan was in 2021, therefore there was no expense in 2020. The assumptions that the Company used to determine the grant-date fair value of shares granted to participants were as follows, disclosed on a grant date basis:</w:t>
      </w:r>
    </w:p>
    <w:p>
      <w:pPr>
        <w:spacing w:after="0" w:line="263" w:lineRule="exact"/>
        <w:rPr>
          <w:sz w:val="20"/>
          <w:szCs w:val="20"/>
          <w:color w:val="auto"/>
        </w:rPr>
      </w:pPr>
    </w:p>
    <w:tbl>
      <w:tblPr>
        <w:tblLayout w:type="fixed"/>
        <w:tblInd w:w="164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06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223"/>
        </w:trPr>
        <w:tc>
          <w:tcPr>
            <w:tcW w:w="58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3"/>
        </w:trPr>
        <w:tc>
          <w:tcPr>
            <w:tcW w:w="5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term (in years)</w:t>
            </w:r>
          </w:p>
        </w:tc>
        <w:tc>
          <w:tcPr>
            <w:tcW w:w="2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0.5 - 2.0 years</w:t>
            </w:r>
          </w:p>
        </w:tc>
        <w:tc>
          <w:tcPr>
            <w:tcW w:w="80" w:type="dxa"/>
            <w:vAlign w:val="bottom"/>
            <w:shd w:val="clear" w:color="auto" w:fill="CFF0FC"/>
          </w:tcPr>
          <w:p>
            <w:pPr>
              <w:spacing w:after="0"/>
              <w:rPr>
                <w:sz w:val="17"/>
                <w:szCs w:val="17"/>
                <w:color w:val="auto"/>
              </w:rPr>
            </w:pP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0.03% - 0.54%</w:t>
            </w:r>
          </w:p>
        </w:tc>
        <w:tc>
          <w:tcPr>
            <w:tcW w:w="80" w:type="dxa"/>
            <w:vAlign w:val="bottom"/>
          </w:tcPr>
          <w:p>
            <w:pPr>
              <w:spacing w:after="0"/>
              <w:rPr>
                <w:sz w:val="17"/>
                <w:szCs w:val="17"/>
                <w:color w:val="auto"/>
              </w:rPr>
            </w:pPr>
          </w:p>
        </w:tc>
      </w:tr>
      <w:tr>
        <w:trPr>
          <w:trHeight w:val="203"/>
        </w:trPr>
        <w:tc>
          <w:tcPr>
            <w:tcW w:w="5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Dividend yield</w:t>
            </w:r>
          </w:p>
        </w:tc>
        <w:tc>
          <w:tcPr>
            <w:tcW w:w="2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Volatility</w:t>
            </w: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50.41% - 97.14%</w:t>
            </w:r>
          </w:p>
        </w:tc>
        <w:tc>
          <w:tcPr>
            <w:tcW w:w="80" w:type="dxa"/>
            <w:vAlign w:val="bottom"/>
          </w:tcPr>
          <w:p>
            <w:pPr>
              <w:spacing w:after="0"/>
              <w:rPr>
                <w:sz w:val="17"/>
                <w:szCs w:val="17"/>
                <w:color w:val="auto"/>
              </w:rPr>
            </w:pPr>
          </w:p>
        </w:tc>
      </w:tr>
      <w:tr>
        <w:trPr>
          <w:trHeight w:val="203"/>
        </w:trPr>
        <w:tc>
          <w:tcPr>
            <w:tcW w:w="5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Weighted-average estimated fair value of purchase rights</w:t>
            </w:r>
          </w:p>
        </w:tc>
        <w:tc>
          <w:tcPr>
            <w:tcW w:w="2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$4.13 - $13.49</w:t>
            </w:r>
          </w:p>
        </w:tc>
        <w:tc>
          <w:tcPr>
            <w:tcW w:w="80" w:type="dxa"/>
            <w:vAlign w:val="bottom"/>
            <w:shd w:val="clear" w:color="auto" w:fill="CFF0FC"/>
          </w:tcPr>
          <w:p>
            <w:pPr>
              <w:spacing w:after="0"/>
              <w:rPr>
                <w:sz w:val="17"/>
                <w:szCs w:val="17"/>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04"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The exercise price for incentive stock options is at least 100% of the fair market value on the date of grant for stockholders owning less than 10% of the voting power of all classes of stock, or at least 110% of the fair market value for stockholders owning more than 10% of the voting power of all classes of stock. Options generally expire in 10 years and vest over periods determined by the Board, generally 48 months. Certain stock options referred to as “early exercise stock options” permit the holders to exercise the option in whole or in part prior to the full vesting of the option in exchange for unvested shares of Restricted Stock with respect to any unvested portion of the option so exercised.</w:t>
      </w:r>
    </w:p>
    <w:p>
      <w:pPr>
        <w:spacing w:after="0" w:line="66" w:lineRule="exact"/>
        <w:rPr>
          <w:sz w:val="20"/>
          <w:szCs w:val="20"/>
          <w:color w:val="auto"/>
        </w:rPr>
      </w:pPr>
    </w:p>
    <w:p>
      <w:pPr>
        <w:jc w:val="both"/>
        <w:ind w:right="180" w:firstLine="509"/>
        <w:spacing w:after="0" w:line="248" w:lineRule="auto"/>
        <w:rPr>
          <w:sz w:val="20"/>
          <w:szCs w:val="20"/>
          <w:color w:val="auto"/>
        </w:rPr>
      </w:pPr>
      <w:r>
        <w:rPr>
          <w:rFonts w:ascii="Arial" w:cs="Arial" w:eastAsia="Arial" w:hAnsi="Arial"/>
          <w:sz w:val="18"/>
          <w:szCs w:val="18"/>
          <w:color w:val="auto"/>
        </w:rPr>
        <w:t>During the years ended December 31, 2021 and December 31, 2020, the Company’s stock option compensation expense was approximately $12.2 million and $2.6 million, respectively, and there was no recognized tax benefit in either year. As of December 31, 2021, the unamortized expense balance was $33.6 million, to be amortized over a weighted-average period of 2.56 years.</w:t>
      </w:r>
    </w:p>
    <w:p>
      <w:pPr>
        <w:spacing w:after="0" w:line="74"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assumptions that the Company used to determine the grant-date fair value of stock options granted to Participants were as follows, presented on a weighted-average basis: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5600" w:type="dxa"/>
            <w:vAlign w:val="bottom"/>
            <w:gridSpan w:val="2"/>
          </w:tcPr>
          <w:p>
            <w:pPr>
              <w:ind w:left="5300"/>
              <w:spacing w:after="0"/>
              <w:rPr>
                <w:sz w:val="20"/>
                <w:szCs w:val="20"/>
                <w:color w:val="auto"/>
              </w:rPr>
            </w:pPr>
            <w:r>
              <w:rPr>
                <w:rFonts w:ascii="Arial" w:cs="Arial" w:eastAsia="Arial" w:hAnsi="Arial"/>
                <w:sz w:val="14"/>
                <w:szCs w:val="14"/>
                <w:b w:val="1"/>
                <w:bCs w:val="1"/>
                <w:color w:val="auto"/>
                <w:w w:val="89"/>
              </w:rPr>
              <w:t>2021</w:t>
            </w: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6"/>
        </w:trPr>
        <w:tc>
          <w:tcPr>
            <w:tcW w:w="1700" w:type="dxa"/>
            <w:vAlign w:val="bottom"/>
          </w:tcPr>
          <w:p>
            <w:pPr>
              <w:spacing w:after="0"/>
              <w:rPr>
                <w:sz w:val="17"/>
                <w:szCs w:val="17"/>
                <w:color w:val="auto"/>
              </w:rPr>
            </w:pPr>
          </w:p>
        </w:tc>
        <w:tc>
          <w:tcPr>
            <w:tcW w:w="4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Expected term (in years)</w:t>
            </w:r>
          </w:p>
        </w:tc>
        <w:tc>
          <w:tcPr>
            <w:tcW w:w="76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5.72</w:t>
            </w:r>
          </w:p>
        </w:tc>
        <w:tc>
          <w:tcPr>
            <w:tcW w:w="40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5.79</w:t>
            </w:r>
          </w:p>
        </w:tc>
        <w:tc>
          <w:tcPr>
            <w:tcW w:w="30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02"/>
        </w:trPr>
        <w:tc>
          <w:tcPr>
            <w:tcW w:w="1700" w:type="dxa"/>
            <w:vAlign w:val="bottom"/>
          </w:tcPr>
          <w:p>
            <w:pPr>
              <w:spacing w:after="0"/>
              <w:rPr>
                <w:sz w:val="17"/>
                <w:szCs w:val="17"/>
                <w:color w:val="auto"/>
              </w:rPr>
            </w:pPr>
          </w:p>
        </w:tc>
        <w:tc>
          <w:tcPr>
            <w:tcW w:w="5600" w:type="dxa"/>
            <w:vAlign w:val="bottom"/>
            <w:gridSpan w:val="2"/>
          </w:tcPr>
          <w:p>
            <w:pPr>
              <w:spacing w:after="0" w:line="202" w:lineRule="exact"/>
              <w:rPr>
                <w:sz w:val="20"/>
                <w:szCs w:val="20"/>
                <w:color w:val="auto"/>
              </w:rPr>
            </w:pPr>
            <w:r>
              <w:rPr>
                <w:rFonts w:ascii="Arial" w:cs="Arial" w:eastAsia="Arial" w:hAnsi="Arial"/>
                <w:sz w:val="18"/>
                <w:szCs w:val="18"/>
                <w:color w:val="auto"/>
              </w:rPr>
              <w:t>Risk-free interest rate</w:t>
            </w: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0.99 %</w:t>
            </w:r>
          </w:p>
        </w:tc>
        <w:tc>
          <w:tcPr>
            <w:tcW w:w="1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0.93 %</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56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Dividend yield</w:t>
            </w:r>
          </w:p>
        </w:tc>
        <w:tc>
          <w:tcPr>
            <w:tcW w:w="840" w:type="dxa"/>
            <w:vAlign w:val="bottom"/>
            <w:gridSpan w:val="2"/>
            <w:shd w:val="clear" w:color="auto" w:fill="CFF0FC"/>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spacing w:after="0"/>
              <w:rPr>
                <w:sz w:val="17"/>
                <w:szCs w:val="17"/>
                <w:color w:val="auto"/>
              </w:rPr>
            </w:pPr>
          </w:p>
        </w:tc>
      </w:tr>
      <w:tr>
        <w:trPr>
          <w:trHeight w:val="230"/>
        </w:trPr>
        <w:tc>
          <w:tcPr>
            <w:tcW w:w="170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81.21 %</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77.14 %</w:t>
            </w:r>
          </w:p>
        </w:tc>
        <w:tc>
          <w:tcPr>
            <w:tcW w:w="1680" w:type="dxa"/>
            <w:vAlign w:val="bottom"/>
          </w:tcPr>
          <w:p>
            <w:pPr>
              <w:spacing w:after="0"/>
              <w:rPr>
                <w:sz w:val="20"/>
                <w:szCs w:val="20"/>
                <w:color w:val="auto"/>
              </w:rPr>
            </w:pPr>
          </w:p>
        </w:tc>
      </w:tr>
      <w:tr>
        <w:trPr>
          <w:trHeight w:val="607"/>
        </w:trPr>
        <w:tc>
          <w:tcPr>
            <w:tcW w:w="1700" w:type="dxa"/>
            <w:vAlign w:val="bottom"/>
          </w:tcPr>
          <w:p>
            <w:pPr>
              <w:spacing w:after="0"/>
              <w:rPr>
                <w:sz w:val="24"/>
                <w:szCs w:val="24"/>
                <w:color w:val="auto"/>
              </w:rPr>
            </w:pPr>
          </w:p>
        </w:tc>
        <w:tc>
          <w:tcPr>
            <w:tcW w:w="4840" w:type="dxa"/>
            <w:vAlign w:val="bottom"/>
          </w:tcPr>
          <w:p>
            <w:pPr>
              <w:ind w:left="3780"/>
              <w:spacing w:after="0"/>
              <w:rPr>
                <w:sz w:val="20"/>
                <w:szCs w:val="20"/>
                <w:color w:val="auto"/>
              </w:rPr>
            </w:pPr>
            <w:r>
              <w:rPr>
                <w:rFonts w:ascii="Arial" w:cs="Arial" w:eastAsia="Arial" w:hAnsi="Arial"/>
                <w:sz w:val="18"/>
                <w:szCs w:val="18"/>
                <w:color w:val="auto"/>
              </w:rPr>
              <w:t>135</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2"/>
        </w:trPr>
        <w:tc>
          <w:tcPr>
            <w:tcW w:w="1700" w:type="dxa"/>
            <w:vAlign w:val="bottom"/>
            <w:tcBorders>
              <w:bottom w:val="single" w:sz="8" w:color="9A9A9A"/>
            </w:tcBorders>
          </w:tcPr>
          <w:p>
            <w:pPr>
              <w:spacing w:after="0"/>
              <w:rPr>
                <w:sz w:val="8"/>
                <w:szCs w:val="8"/>
                <w:color w:val="auto"/>
              </w:rPr>
            </w:pPr>
          </w:p>
        </w:tc>
        <w:tc>
          <w:tcPr>
            <w:tcW w:w="48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0" w:name="page141"/>
    <w:bookmarkEnd w:id="140"/>
    <w:p>
      <w:pPr>
        <w:ind w:left="520"/>
        <w:spacing w:after="0"/>
        <w:rPr>
          <w:sz w:val="20"/>
          <w:szCs w:val="20"/>
          <w:color w:val="auto"/>
        </w:rPr>
      </w:pPr>
      <w:r>
        <w:rPr>
          <w:rFonts w:ascii="Arial" w:cs="Arial" w:eastAsia="Arial" w:hAnsi="Arial"/>
          <w:sz w:val="18"/>
          <w:szCs w:val="18"/>
          <w:color w:val="auto"/>
        </w:rPr>
        <w:t>Stock option activity during the year ended December 31, 2021 and 2020 was as follows:</w:t>
      </w: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6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96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86"/>
              </w:rPr>
              <w:t>Exercise</w:t>
            </w:r>
          </w:p>
        </w:tc>
        <w:tc>
          <w:tcPr>
            <w:tcW w:w="2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780" w:type="dxa"/>
            <w:vAlign w:val="bottom"/>
          </w:tcPr>
          <w:p>
            <w:pPr>
              <w:spacing w:after="0"/>
              <w:rPr>
                <w:sz w:val="16"/>
                <w:szCs w:val="16"/>
                <w:color w:val="auto"/>
              </w:rPr>
            </w:pPr>
          </w:p>
        </w:tc>
        <w:tc>
          <w:tcPr>
            <w:tcW w:w="13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Price per Share</w:t>
            </w:r>
          </w:p>
        </w:tc>
        <w:tc>
          <w:tcPr>
            <w:tcW w:w="2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Term (years)</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3"/>
              </w:rPr>
              <w:t>Value (in $000)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gridSpan w:val="2"/>
          </w:tcPr>
          <w:p>
            <w:pPr>
              <w:spacing w:after="0"/>
              <w:rPr>
                <w:sz w:val="19"/>
                <w:szCs w:val="19"/>
                <w:color w:val="auto"/>
              </w:rPr>
            </w:pPr>
          </w:p>
        </w:tc>
        <w:tc>
          <w:tcPr>
            <w:tcW w:w="340" w:type="dxa"/>
            <w:vAlign w:val="bottom"/>
            <w:gridSpan w:val="2"/>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Outstanding as of December 31, 2019</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346,872</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w:t>
            </w:r>
          </w:p>
        </w:tc>
        <w:tc>
          <w:tcPr>
            <w:tcW w:w="1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9.01</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47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5,382,362</w:t>
            </w:r>
          </w:p>
        </w:tc>
        <w:tc>
          <w:tcPr>
            <w:tcW w:w="24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11.42</w:t>
            </w:r>
          </w:p>
        </w:tc>
        <w:tc>
          <w:tcPr>
            <w:tcW w:w="200" w:type="dxa"/>
            <w:vAlign w:val="bottom"/>
            <w:tcBorders>
              <w:top w:val="single" w:sz="8" w:color="CFF0FC"/>
            </w:tcBorders>
          </w:tcPr>
          <w:p>
            <w:pPr>
              <w:spacing w:after="0"/>
              <w:rPr>
                <w:sz w:val="24"/>
                <w:szCs w:val="24"/>
                <w:color w:val="auto"/>
              </w:rPr>
            </w:pPr>
          </w:p>
        </w:tc>
        <w:tc>
          <w:tcPr>
            <w:tcW w:w="122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(188,990 )</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2.33</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(52,096 )</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as of December 31, 2020</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5,488,148</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11.19</w:t>
            </w:r>
          </w:p>
        </w:tc>
        <w:tc>
          <w:tcPr>
            <w:tcW w:w="14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9.57</w:t>
            </w:r>
          </w:p>
        </w:tc>
        <w:tc>
          <w:tcPr>
            <w:tcW w:w="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90,335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47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482,380</w:t>
            </w:r>
          </w:p>
        </w:tc>
        <w:tc>
          <w:tcPr>
            <w:tcW w:w="24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20.31</w:t>
            </w:r>
          </w:p>
        </w:tc>
        <w:tc>
          <w:tcPr>
            <w:tcW w:w="200" w:type="dxa"/>
            <w:vAlign w:val="bottom"/>
            <w:tcBorders>
              <w:top w:val="single" w:sz="8" w:color="CFF0FC"/>
            </w:tcBorders>
          </w:tcPr>
          <w:p>
            <w:pPr>
              <w:spacing w:after="0"/>
              <w:rPr>
                <w:sz w:val="24"/>
                <w:szCs w:val="24"/>
                <w:color w:val="auto"/>
              </w:rPr>
            </w:pPr>
          </w:p>
        </w:tc>
        <w:tc>
          <w:tcPr>
            <w:tcW w:w="122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(123,621 )</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3.16</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20"/>
              <w:spacing w:after="0" w:line="202" w:lineRule="exact"/>
              <w:rPr>
                <w:sz w:val="20"/>
                <w:szCs w:val="20"/>
                <w:color w:val="auto"/>
              </w:rPr>
            </w:pPr>
            <w:r>
              <w:rPr>
                <w:rFonts w:ascii="Arial" w:cs="Arial" w:eastAsia="Arial" w:hAnsi="Arial"/>
                <w:sz w:val="18"/>
                <w:szCs w:val="18"/>
                <w:color w:val="auto"/>
              </w:rPr>
              <w:t>Forfeited or expired</w:t>
            </w:r>
          </w:p>
        </w:tc>
        <w:tc>
          <w:tcPr>
            <w:tcW w:w="1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(154,393 )</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13.66</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as of December 31, 2021</w:t>
            </w: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5,692,514</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12.07</w:t>
            </w:r>
          </w:p>
        </w:tc>
        <w:tc>
          <w:tcPr>
            <w:tcW w:w="14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8.63</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16,763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4780" w:type="dxa"/>
            <w:vAlign w:val="bottom"/>
          </w:tcPr>
          <w:p>
            <w:pPr>
              <w:ind w:left="20"/>
              <w:spacing w:after="0"/>
              <w:rPr>
                <w:sz w:val="20"/>
                <w:szCs w:val="20"/>
                <w:color w:val="auto"/>
              </w:rPr>
            </w:pPr>
            <w:r>
              <w:rPr>
                <w:rFonts w:ascii="Arial" w:cs="Arial" w:eastAsia="Arial" w:hAnsi="Arial"/>
                <w:sz w:val="18"/>
                <w:szCs w:val="18"/>
                <w:color w:val="auto"/>
              </w:rPr>
              <w:t>Options vested and expected to vest as of</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5,652,622</w:t>
            </w:r>
          </w:p>
        </w:tc>
        <w:tc>
          <w:tcPr>
            <w:tcW w:w="240" w:type="dxa"/>
            <w:vAlign w:val="bottom"/>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12.13</w:t>
            </w:r>
          </w:p>
        </w:tc>
        <w:tc>
          <w:tcPr>
            <w:tcW w:w="1420" w:type="dxa"/>
            <w:vAlign w:val="bottom"/>
            <w:gridSpan w:val="2"/>
            <w:vMerge w:val="restart"/>
          </w:tcPr>
          <w:p>
            <w:pPr>
              <w:jc w:val="right"/>
              <w:spacing w:after="0"/>
              <w:rPr>
                <w:sz w:val="20"/>
                <w:szCs w:val="20"/>
                <w:color w:val="auto"/>
              </w:rPr>
            </w:pPr>
            <w:r>
              <w:rPr>
                <w:rFonts w:ascii="Arial" w:cs="Arial" w:eastAsia="Arial" w:hAnsi="Arial"/>
                <w:sz w:val="18"/>
                <w:szCs w:val="18"/>
                <w:color w:val="auto"/>
              </w:rPr>
              <w:t>8.63</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16,427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60"/>
              <w:spacing w:after="0"/>
              <w:rPr>
                <w:sz w:val="20"/>
                <w:szCs w:val="20"/>
                <w:color w:val="auto"/>
              </w:rPr>
            </w:pPr>
            <w:r>
              <w:rPr>
                <w:rFonts w:ascii="Arial" w:cs="Arial" w:eastAsia="Arial" w:hAnsi="Arial"/>
                <w:sz w:val="18"/>
                <w:szCs w:val="18"/>
                <w:color w:val="auto"/>
              </w:rPr>
              <w:t>December 31, 2021</w:t>
            </w:r>
          </w:p>
        </w:tc>
        <w:tc>
          <w:tcPr>
            <w:tcW w:w="13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8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Options vested and exercisable as of</w:t>
            </w: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1,788,095</w:t>
            </w:r>
          </w:p>
        </w:tc>
        <w:tc>
          <w:tcPr>
            <w:tcW w:w="240" w:type="dxa"/>
            <w:vAlign w:val="bottom"/>
            <w:shd w:val="clear" w:color="auto" w:fill="CFF0FC"/>
          </w:tcPr>
          <w:p>
            <w:pPr>
              <w:spacing w:after="0"/>
              <w:rPr>
                <w:sz w:val="14"/>
                <w:szCs w:val="14"/>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14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3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8,072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December 31, 2021</w:t>
            </w:r>
          </w:p>
        </w:tc>
        <w:tc>
          <w:tcPr>
            <w:tcW w:w="13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1420" w:type="dxa"/>
            <w:vAlign w:val="bottom"/>
            <w:gridSpan w:val="2"/>
            <w:vMerge w:val="continue"/>
            <w:shd w:val="clear" w:color="auto" w:fill="CFF0FC"/>
          </w:tcPr>
          <w:p>
            <w:pPr>
              <w:spacing w:after="0"/>
              <w:rPr>
                <w:sz w:val="18"/>
                <w:szCs w:val="18"/>
                <w:color w:val="auto"/>
              </w:rPr>
            </w:pPr>
          </w:p>
        </w:tc>
        <w:tc>
          <w:tcPr>
            <w:tcW w:w="340" w:type="dxa"/>
            <w:vAlign w:val="bottom"/>
            <w:gridSpan w:val="2"/>
            <w:vMerge w:val="continue"/>
            <w:shd w:val="clear" w:color="auto" w:fill="CFF0FC"/>
          </w:tcPr>
          <w:p>
            <w:pPr>
              <w:spacing w:after="0"/>
              <w:rPr>
                <w:sz w:val="18"/>
                <w:szCs w:val="18"/>
                <w:color w:val="auto"/>
              </w:rPr>
            </w:pPr>
          </w:p>
        </w:tc>
        <w:tc>
          <w:tcPr>
            <w:tcW w:w="11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-1933575</wp:posOffset>
            </wp:positionV>
            <wp:extent cx="7747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-1933575</wp:posOffset>
            </wp:positionV>
            <wp:extent cx="5969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-1273810</wp:posOffset>
            </wp:positionV>
            <wp:extent cx="7747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-1273810</wp:posOffset>
            </wp:positionV>
            <wp:extent cx="5969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-613410</wp:posOffset>
            </wp:positionV>
            <wp:extent cx="7747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-613410</wp:posOffset>
            </wp:positionV>
            <wp:extent cx="5969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80" w:firstLine="509"/>
        <w:spacing w:after="0" w:line="293" w:lineRule="auto"/>
        <w:rPr>
          <w:sz w:val="20"/>
          <w:szCs w:val="20"/>
          <w:color w:val="auto"/>
        </w:rPr>
      </w:pPr>
      <w:r>
        <w:rPr>
          <w:rFonts w:ascii="Arial" w:cs="Arial" w:eastAsia="Arial" w:hAnsi="Arial"/>
          <w:sz w:val="18"/>
          <w:szCs w:val="18"/>
          <w:color w:val="auto"/>
        </w:rPr>
        <w:t>The weighted-average grant date fair value of stock options granted was $13.76 per share during the year ended December 31, 2021. The weighted-average grant date fair value of stock options granted was $7.50 per share during the year ended December 31, 2020.</w:t>
      </w:r>
    </w:p>
    <w:p>
      <w:pPr>
        <w:spacing w:after="0" w:line="48"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During the year ended December 31, 2021 the Company did not issue shares for unvested stock options, and in the year ended December 31, 2020, the Company issued 371,939 shares of Common Stock upon the exercise of unvested stock options or purchases for unvested restricted stock awards. As of December 31, 2021 and 2020, there were 163,855 and 396,522 shares of Common Stock, respectively, held by employees subject to repurchase at an aggregate price of $0.3 million and $0.6 million, respectively. A corresponding liability was recorded and included in accrued expenses on the consolidated balance sheet as of December 31, 2021 and 2020.</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04" w:lineRule="exact"/>
        <w:rPr>
          <w:sz w:val="20"/>
          <w:szCs w:val="20"/>
          <w:color w:val="auto"/>
        </w:rPr>
      </w:pPr>
    </w:p>
    <w:p>
      <w:pPr>
        <w:ind w:right="120" w:firstLine="509"/>
        <w:spacing w:after="0" w:line="284" w:lineRule="auto"/>
        <w:rPr>
          <w:sz w:val="20"/>
          <w:szCs w:val="20"/>
          <w:color w:val="auto"/>
        </w:rPr>
      </w:pPr>
      <w:r>
        <w:rPr>
          <w:rFonts w:ascii="Arial" w:cs="Arial" w:eastAsia="Arial" w:hAnsi="Arial"/>
          <w:sz w:val="16"/>
          <w:szCs w:val="16"/>
          <w:color w:val="auto"/>
        </w:rPr>
        <w:t>The Company may grant restricted stock purchase awards to the Participants to purchase restricted stock under the Company’s Plan, which are subject to vesting conditions. The purchase prices of the restricted stock are determined by the Board. The Company has a right to repurchase the shares if the Participant’s service period is not fulfilled or upon termination of service at the original per share issuance price. The right of repurchase lapses over a service period which is typically four years with 25% vesting on the first anniversary of the vesting commencement date and 1/48 each month thereafter.</w:t>
      </w:r>
    </w:p>
    <w:p>
      <w:pPr>
        <w:spacing w:after="0" w:line="47"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Before the adoption of the Company’s Plan, the Company granted 502,964 restricted stock awards to employees and founders. These restricted stock awards have similar characteristics to the restricted stock awards granted under the Company’s Plan, other than the right of repurchase, which typically lapses over three years with 33% vesting on the first anniversary of the vesting commencement date and 1/36 each month thereafter.</w:t>
      </w:r>
    </w:p>
    <w:p>
      <w:pPr>
        <w:spacing w:after="0" w:line="39"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During the years ended December 31, 2021 and December 31, 2020, the Company recorded a total stock-based compensation expense of $357,000 and $361,000, respectively, related to the restricted stock awards. As of December 31, 2021, unrecognized stock-based compensation costs related to outstanding unvested restricted stock awards that are expected to vest were approximately $95,000, expected to be recognized over a weighted-average period of 0.3 years.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1" w:name="page142"/>
    <w:bookmarkEnd w:id="141"/>
    <w:p>
      <w:pPr>
        <w:ind w:left="520"/>
        <w:spacing w:after="0"/>
        <w:rPr>
          <w:sz w:val="20"/>
          <w:szCs w:val="20"/>
          <w:color w:val="auto"/>
        </w:rPr>
      </w:pPr>
      <w:r>
        <w:rPr>
          <w:rFonts w:ascii="Arial" w:cs="Arial" w:eastAsia="Arial" w:hAnsi="Arial"/>
          <w:sz w:val="18"/>
          <w:szCs w:val="18"/>
          <w:color w:val="auto"/>
        </w:rPr>
        <w:t>The following table summarizes the Company’s restricted common stock activity for years ended December 31, 2021 and 2020:</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58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11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7"/>
              </w:rPr>
              <w:t>Grant Date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5"/>
        </w:trPr>
        <w:tc>
          <w:tcPr>
            <w:tcW w:w="4380" w:type="dxa"/>
            <w:vAlign w:val="bottom"/>
          </w:tcPr>
          <w:p>
            <w:pPr>
              <w:spacing w:after="0"/>
              <w:rPr>
                <w:sz w:val="16"/>
                <w:szCs w:val="16"/>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of Awards</w:t>
            </w:r>
          </w:p>
        </w:tc>
        <w:tc>
          <w:tcPr>
            <w:tcW w:w="180" w:type="dxa"/>
            <w:vAlign w:val="bottom"/>
          </w:tcPr>
          <w:p>
            <w:pPr>
              <w:spacing w:after="0"/>
              <w:rPr>
                <w:sz w:val="16"/>
                <w:szCs w:val="16"/>
                <w:color w:val="auto"/>
              </w:rPr>
            </w:pPr>
          </w:p>
        </w:tc>
        <w:tc>
          <w:tcPr>
            <w:tcW w:w="110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per Share</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$000)</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3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Issued and unvested as of December 31, 2019</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827,187</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1.01</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4380" w:type="dxa"/>
            <w:vAlign w:val="bottom"/>
          </w:tcPr>
          <w:p>
            <w:pPr>
              <w:spacing w:after="0"/>
              <w:rPr>
                <w:sz w:val="20"/>
                <w:szCs w:val="20"/>
                <w:color w:val="auto"/>
              </w:rPr>
            </w:pPr>
            <w:r>
              <w:rPr>
                <w:rFonts w:ascii="Arial" w:cs="Arial" w:eastAsia="Arial" w:hAnsi="Arial"/>
                <w:sz w:val="18"/>
                <w:szCs w:val="18"/>
                <w:color w:val="auto"/>
              </w:rPr>
              <w:t>Restricted stock awards granted</w:t>
            </w: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Restricted stock awards vested</w:t>
            </w:r>
          </w:p>
        </w:tc>
        <w:tc>
          <w:tcPr>
            <w:tcW w:w="15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(418,776 )</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0.86</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(361 )</w:t>
            </w:r>
          </w:p>
        </w:tc>
        <w:tc>
          <w:tcPr>
            <w:tcW w:w="0" w:type="dxa"/>
            <w:vAlign w:val="bottom"/>
          </w:tcPr>
          <w:p>
            <w:pPr>
              <w:spacing w:after="0"/>
              <w:rPr>
                <w:sz w:val="1"/>
                <w:szCs w:val="1"/>
                <w:color w:val="auto"/>
              </w:rPr>
            </w:pPr>
          </w:p>
        </w:tc>
      </w:tr>
      <w:tr>
        <w:trPr>
          <w:trHeight w:val="196"/>
        </w:trPr>
        <w:tc>
          <w:tcPr>
            <w:tcW w:w="438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Issued and unvested as of December 31, 2020</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408,411</w:t>
            </w:r>
          </w:p>
        </w:tc>
        <w:tc>
          <w:tcPr>
            <w:tcW w:w="28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CFF0FC"/>
            </w:tcBorders>
          </w:tcPr>
          <w:p>
            <w:pPr>
              <w:jc w:val="right"/>
              <w:spacing w:after="0" w:line="196" w:lineRule="exact"/>
              <w:rPr>
                <w:sz w:val="20"/>
                <w:szCs w:val="20"/>
                <w:color w:val="auto"/>
              </w:rPr>
            </w:pPr>
            <w:r>
              <w:rPr>
                <w:rFonts w:ascii="Arial" w:cs="Arial" w:eastAsia="Arial" w:hAnsi="Arial"/>
                <w:sz w:val="18"/>
                <w:szCs w:val="18"/>
                <w:color w:val="auto"/>
              </w:rPr>
              <w:t>1.16</w:t>
            </w:r>
          </w:p>
        </w:tc>
        <w:tc>
          <w:tcPr>
            <w:tcW w:w="22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15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Restricted stock awards granted</w:t>
            </w:r>
          </w:p>
        </w:tc>
        <w:tc>
          <w:tcPr>
            <w:tcW w:w="158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Restricted stock awards vested</w:t>
            </w:r>
          </w:p>
        </w:tc>
        <w:tc>
          <w:tcPr>
            <w:tcW w:w="1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(319,357 )</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(356 )</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Issued and unvested as of December 31, 2021</w:t>
            </w: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89,054</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1.30</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-1196340</wp:posOffset>
            </wp:positionV>
            <wp:extent cx="7747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-1196340</wp:posOffset>
            </wp:positionV>
            <wp:extent cx="6858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-802005</wp:posOffset>
            </wp:positionV>
            <wp:extent cx="7747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-802005</wp:posOffset>
            </wp:positionV>
            <wp:extent cx="6858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-5080</wp:posOffset>
            </wp:positionV>
            <wp:extent cx="7747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-5080</wp:posOffset>
            </wp:positionV>
            <wp:extent cx="6858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was allocated as follows for the years ended December 31, 2021 and December 31, 2020:</w:t>
      </w:r>
    </w:p>
    <w:p>
      <w:pPr>
        <w:spacing w:after="0" w:line="244"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0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19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7,554</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1,041</w:t>
            </w:r>
          </w:p>
        </w:tc>
        <w:tc>
          <w:tcPr>
            <w:tcW w:w="8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5,903</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1,934</w:t>
            </w:r>
          </w:p>
        </w:tc>
        <w:tc>
          <w:tcPr>
            <w:tcW w:w="80" w:type="dxa"/>
            <w:vAlign w:val="bottom"/>
          </w:tcPr>
          <w:p>
            <w:pPr>
              <w:spacing w:after="0"/>
              <w:rPr>
                <w:sz w:val="17"/>
                <w:szCs w:val="17"/>
                <w:color w:val="auto"/>
              </w:rPr>
            </w:pPr>
          </w:p>
        </w:tc>
      </w:tr>
      <w:tr>
        <w:trPr>
          <w:trHeight w:val="196"/>
        </w:trPr>
        <w:tc>
          <w:tcPr>
            <w:tcW w:w="508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13,457</w:t>
            </w: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2,975</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-5080</wp:posOffset>
            </wp:positionV>
            <wp:extent cx="4318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-5080</wp:posOffset>
            </wp:positionV>
            <wp:extent cx="4318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present the fair value of the Company’s financial instruments that are measured or disclosed at fair value on a recurring basis: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5"/>
          </w:tcPr>
          <w:p>
            <w:pPr>
              <w:jc w:val="center"/>
              <w:ind w:left="718"/>
              <w:spacing w:after="0"/>
              <w:rPr>
                <w:sz w:val="20"/>
                <w:szCs w:val="20"/>
                <w:color w:val="auto"/>
              </w:rPr>
            </w:pPr>
            <w:r>
              <w:rPr>
                <w:rFonts w:ascii="Arial" w:cs="Arial" w:eastAsia="Arial" w:hAnsi="Arial"/>
                <w:sz w:val="14"/>
                <w:szCs w:val="14"/>
                <w:b w:val="1"/>
                <w:bCs w:val="1"/>
                <w:color w:val="auto"/>
                <w:w w:val="93"/>
              </w:rPr>
              <w:t>Fair Value Measurements</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5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center"/>
              <w:ind w:left="738"/>
              <w:spacing w:after="0"/>
              <w:rPr>
                <w:sz w:val="20"/>
                <w:szCs w:val="20"/>
                <w:color w:val="auto"/>
              </w:rPr>
            </w:pPr>
            <w:r>
              <w:rPr>
                <w:rFonts w:ascii="Arial" w:cs="Arial" w:eastAsia="Arial" w:hAnsi="Arial"/>
                <w:sz w:val="14"/>
                <w:szCs w:val="14"/>
                <w:b w:val="1"/>
                <w:bCs w:val="1"/>
                <w:color w:val="auto"/>
                <w:w w:val="90"/>
              </w:rPr>
              <w:t>as of December 31, 2021</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0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020" w:type="dxa"/>
            <w:vAlign w:val="bottom"/>
          </w:tcPr>
          <w:p>
            <w:pPr>
              <w:jc w:val="right"/>
              <w:ind w:right="338"/>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4"/>
                <w:szCs w:val="14"/>
                <w:color w:val="auto"/>
              </w:rPr>
            </w:pPr>
          </w:p>
        </w:tc>
      </w:tr>
      <w:tr>
        <w:trPr>
          <w:trHeight w:val="19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080" w:type="dxa"/>
            <w:vAlign w:val="bottom"/>
          </w:tcPr>
          <w:p>
            <w:pPr>
              <w:ind w:left="180"/>
              <w:spacing w:after="0" w:line="202" w:lineRule="exact"/>
              <w:rPr>
                <w:sz w:val="20"/>
                <w:szCs w:val="20"/>
                <w:color w:val="auto"/>
              </w:rPr>
            </w:pPr>
            <w:r>
              <w:rPr>
                <w:rFonts w:ascii="Arial" w:cs="Arial" w:eastAsia="Arial" w:hAnsi="Arial"/>
                <w:sz w:val="18"/>
                <w:szCs w:val="18"/>
                <w:color w:val="auto"/>
              </w:rPr>
              <w:t>Cash equivalents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186,816</w:t>
            </w:r>
          </w:p>
        </w:tc>
        <w:tc>
          <w:tcPr>
            <w:tcW w:w="4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ind w:left="70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203"/>
        </w:trPr>
        <w:tc>
          <w:tcPr>
            <w:tcW w:w="50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Certificates of deposit</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3,918</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ind w:left="7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ind w:left="70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r>
      <w:tr>
        <w:trPr>
          <w:trHeight w:val="203"/>
        </w:trPr>
        <w:tc>
          <w:tcPr>
            <w:tcW w:w="5080" w:type="dxa"/>
            <w:vAlign w:val="bottom"/>
          </w:tcPr>
          <w:p>
            <w:pPr>
              <w:ind w:left="180"/>
              <w:spacing w:after="0" w:line="202" w:lineRule="exact"/>
              <w:rPr>
                <w:sz w:val="20"/>
                <w:szCs w:val="20"/>
                <w:color w:val="auto"/>
              </w:rPr>
            </w:pPr>
            <w:r>
              <w:rPr>
                <w:rFonts w:ascii="Arial" w:cs="Arial" w:eastAsia="Arial" w:hAnsi="Arial"/>
                <w:sz w:val="18"/>
                <w:szCs w:val="18"/>
                <w:color w:val="auto"/>
              </w:rPr>
              <w:t>U.S. Treasury bonds</w:t>
            </w:r>
          </w:p>
        </w:tc>
        <w:tc>
          <w:tcPr>
            <w:tcW w:w="2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15,110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00" w:type="dxa"/>
            <w:vAlign w:val="bottom"/>
          </w:tcPr>
          <w:p>
            <w:pPr>
              <w:ind w:left="70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196"/>
        </w:trPr>
        <w:tc>
          <w:tcPr>
            <w:tcW w:w="50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205,844</w:t>
            </w: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700"/>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70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376"/>
        </w:trPr>
        <w:tc>
          <w:tcPr>
            <w:tcW w:w="5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jc w:val="center"/>
              <w:ind w:left="718"/>
              <w:spacing w:after="0"/>
              <w:rPr>
                <w:sz w:val="20"/>
                <w:szCs w:val="20"/>
                <w:color w:val="auto"/>
              </w:rPr>
            </w:pPr>
            <w:r>
              <w:rPr>
                <w:rFonts w:ascii="Arial" w:cs="Arial" w:eastAsia="Arial" w:hAnsi="Arial"/>
                <w:sz w:val="14"/>
                <w:szCs w:val="14"/>
                <w:b w:val="1"/>
                <w:bCs w:val="1"/>
                <w:color w:val="auto"/>
                <w:w w:val="93"/>
              </w:rPr>
              <w:t>Fair Value Measurements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5"/>
        </w:trPr>
        <w:tc>
          <w:tcPr>
            <w:tcW w:w="5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center"/>
              <w:ind w:left="738"/>
              <w:spacing w:after="0"/>
              <w:rPr>
                <w:sz w:val="20"/>
                <w:szCs w:val="20"/>
                <w:color w:val="auto"/>
              </w:rPr>
            </w:pPr>
            <w:r>
              <w:rPr>
                <w:rFonts w:ascii="Arial" w:cs="Arial" w:eastAsia="Arial" w:hAnsi="Arial"/>
                <w:sz w:val="14"/>
                <w:szCs w:val="14"/>
                <w:b w:val="1"/>
                <w:bCs w:val="1"/>
                <w:color w:val="auto"/>
                <w:w w:val="90"/>
              </w:rPr>
              <w:t>as of December 31, 2020</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0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020" w:type="dxa"/>
            <w:vAlign w:val="bottom"/>
          </w:tcPr>
          <w:p>
            <w:pPr>
              <w:jc w:val="right"/>
              <w:ind w:right="338"/>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4"/>
                <w:szCs w:val="14"/>
                <w:color w:val="auto"/>
              </w:rPr>
            </w:pPr>
          </w:p>
        </w:tc>
      </w:tr>
      <w:tr>
        <w:trPr>
          <w:trHeight w:val="19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080" w:type="dxa"/>
            <w:vAlign w:val="bottom"/>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220,383</w:t>
            </w:r>
          </w:p>
        </w:tc>
        <w:tc>
          <w:tcPr>
            <w:tcW w:w="4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ind w:left="70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203"/>
        </w:trPr>
        <w:tc>
          <w:tcPr>
            <w:tcW w:w="50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U.S. Treasury bonds</w:t>
            </w: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23,144</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ind w:left="700"/>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ind w:left="70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08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243,527</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700"/>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70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-142240</wp:posOffset>
            </wp:positionV>
            <wp:extent cx="5143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-142240</wp:posOffset>
            </wp:positionV>
            <wp:extent cx="5143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-142240</wp:posOffset>
            </wp:positionV>
            <wp:extent cx="4318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order to determine the fair value of the Warrants, the Company utilized a probability-weighted multi-scenario Black-Scholes option-pricing model to determine the fair value of the Warrants by accounting for the probability of multiple possible outcomes, including deemed liquidation events, as best estimated by management.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2" w:name="page143"/>
    <w:bookmarkEnd w:id="142"/>
    <w:p>
      <w:pPr>
        <w:ind w:right="20"/>
        <w:spacing w:after="0" w:line="253" w:lineRule="auto"/>
        <w:rPr>
          <w:sz w:val="20"/>
          <w:szCs w:val="20"/>
          <w:color w:val="auto"/>
        </w:rPr>
      </w:pPr>
      <w:r>
        <w:rPr>
          <w:rFonts w:ascii="Arial" w:cs="Arial" w:eastAsia="Arial" w:hAnsi="Arial"/>
          <w:sz w:val="17"/>
          <w:szCs w:val="17"/>
          <w:color w:val="auto"/>
        </w:rPr>
        <w:t>Estimates and assumptions impacting the fair value measurement including the fair value of the underlying shares of Series A, the remaining contractual or expected term of the Warrants, risk-free interest rate, expected dividend yield and expected volatility of the price of the underlying preferred stock on an as converted basis. The Company considered the probability of a deemed liquidation event in determining the remaining expected term of the Warrants, which was used as an input to the probability-weighted multi-scenario Black-Scholes option-pricing model adopted in 2019. The Company lacked company-specific historical and implied volatility information of its stock since there was no market prior to the IPO. Therefore, it estimated its expected stock volatility based on the historical volatility of publicly traded guideline companies for a term equal to the remaining contractual or expected term of the Warrants. The risk-free interest rate was determined by reference to the U.S. Treasury yield curve for time periods approximately equal to the remaining contractual or expected term of the Warrants. The Company estimated no expected dividend yield based on the fact that the Company has never paid or declared dividends and does not intend to do so in the foreseeable future.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Warrants were converted into shares of Series A stock immediately prior to the IPO and therefore they were retired as of December 31, 2020.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Warrants were measured at fair value under the following assumption immediately prior to retirement:</w:t>
      </w:r>
    </w:p>
    <w:p>
      <w:pPr>
        <w:spacing w:after="0" w:line="228"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6"/>
                <w:szCs w:val="16"/>
                <w:color w:val="auto"/>
              </w:rPr>
            </w:pPr>
          </w:p>
        </w:tc>
      </w:tr>
      <w:tr>
        <w:trPr>
          <w:trHeight w:val="196"/>
        </w:trPr>
        <w:tc>
          <w:tcPr>
            <w:tcW w:w="5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Exercise price</w:t>
            </w:r>
          </w:p>
        </w:tc>
        <w:tc>
          <w:tcPr>
            <w:tcW w:w="500" w:type="dxa"/>
            <w:vAlign w:val="bottom"/>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9.32</w:t>
            </w:r>
          </w:p>
        </w:tc>
        <w:tc>
          <w:tcPr>
            <w:tcW w:w="300" w:type="dxa"/>
            <w:vAlign w:val="bottom"/>
            <w:shd w:val="clear" w:color="auto" w:fill="CFF0FC"/>
          </w:tcPr>
          <w:p>
            <w:pPr>
              <w:spacing w:after="0"/>
              <w:rPr>
                <w:sz w:val="17"/>
                <w:szCs w:val="17"/>
                <w:color w:val="auto"/>
              </w:rPr>
            </w:pP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Term (in years)</w:t>
            </w:r>
          </w:p>
        </w:tc>
        <w:tc>
          <w:tcPr>
            <w:tcW w:w="50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0.32</w:t>
            </w:r>
          </w:p>
        </w:tc>
        <w:tc>
          <w:tcPr>
            <w:tcW w:w="300" w:type="dxa"/>
            <w:vAlign w:val="bottom"/>
          </w:tcPr>
          <w:p>
            <w:pPr>
              <w:spacing w:after="0"/>
              <w:rPr>
                <w:sz w:val="17"/>
                <w:szCs w:val="17"/>
                <w:color w:val="auto"/>
              </w:rPr>
            </w:pPr>
          </w:p>
        </w:tc>
      </w:tr>
      <w:tr>
        <w:trPr>
          <w:trHeight w:val="203"/>
        </w:trPr>
        <w:tc>
          <w:tcPr>
            <w:tcW w:w="5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Risk-free interest rate</w:t>
            </w:r>
          </w:p>
        </w:tc>
        <w:tc>
          <w:tcPr>
            <w:tcW w:w="50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0.10 %</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500" w:type="dxa"/>
            <w:vAlign w:val="bottom"/>
          </w:tcPr>
          <w:p>
            <w:pPr>
              <w:spacing w:after="0"/>
              <w:rPr>
                <w:sz w:val="17"/>
                <w:szCs w:val="17"/>
                <w:color w:val="auto"/>
              </w:rPr>
            </w:pPr>
          </w:p>
        </w:tc>
        <w:tc>
          <w:tcPr>
            <w:tcW w:w="19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r>
      <w:tr>
        <w:trPr>
          <w:trHeight w:val="203"/>
        </w:trPr>
        <w:tc>
          <w:tcPr>
            <w:tcW w:w="5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Volatility</w:t>
            </w:r>
          </w:p>
        </w:tc>
        <w:tc>
          <w:tcPr>
            <w:tcW w:w="50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120.00 %</w:t>
            </w:r>
          </w:p>
        </w:tc>
      </w:tr>
    </w:tbl>
    <w:p>
      <w:pPr>
        <w:spacing w:after="0" w:line="202"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following table sets forth a summary of changes in fair value of the Company’s derivative liability for which fair value was determined by Level 3 inputs:</w:t>
      </w:r>
    </w:p>
    <w:p>
      <w:pPr>
        <w:spacing w:after="0" w:line="19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Redeemable</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2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Warrants</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Preferred Stock</w:t>
            </w: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96"/>
        </w:trPr>
        <w:tc>
          <w:tcPr>
            <w:tcW w:w="4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as of December 31, 2019</w:t>
            </w:r>
          </w:p>
        </w:tc>
        <w:tc>
          <w:tcPr>
            <w:tcW w:w="1240" w:type="dxa"/>
            <w:vAlign w:val="bottom"/>
            <w:tcBorders>
              <w:top w:val="single" w:sz="8" w:color="auto"/>
            </w:tcBorders>
            <w:shd w:val="clear" w:color="auto" w:fill="CFF0FC"/>
          </w:tcPr>
          <w:p>
            <w:pPr>
              <w:jc w:val="right"/>
              <w:ind w:right="1056"/>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461</w:t>
            </w:r>
          </w:p>
        </w:tc>
        <w:tc>
          <w:tcPr>
            <w:tcW w:w="2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3,174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Exercise of warrants</w:t>
            </w:r>
          </w:p>
        </w:tc>
        <w:tc>
          <w:tcPr>
            <w:tcW w:w="1240" w:type="dxa"/>
            <w:vAlign w:val="bottom"/>
          </w:tcPr>
          <w:p>
            <w:pPr>
              <w:spacing w:after="0"/>
              <w:rPr>
                <w:sz w:val="17"/>
                <w:szCs w:val="17"/>
                <w:color w:val="auto"/>
              </w:rPr>
            </w:pPr>
          </w:p>
        </w:tc>
        <w:tc>
          <w:tcPr>
            <w:tcW w:w="7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(137 )</w:t>
            </w:r>
          </w:p>
        </w:tc>
        <w:tc>
          <w:tcPr>
            <w:tcW w:w="260" w:type="dxa"/>
            <w:vAlign w:val="bottom"/>
          </w:tcPr>
          <w:p>
            <w:pPr>
              <w:spacing w:after="0"/>
              <w:rPr>
                <w:sz w:val="17"/>
                <w:szCs w:val="17"/>
                <w:color w:val="auto"/>
              </w:rPr>
            </w:pPr>
          </w:p>
        </w:tc>
        <w:tc>
          <w:tcPr>
            <w:tcW w:w="1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Change in fair value</w:t>
            </w:r>
          </w:p>
        </w:tc>
        <w:tc>
          <w:tcPr>
            <w:tcW w:w="12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296</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11,386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Retirement of liability</w:t>
            </w:r>
          </w:p>
        </w:tc>
        <w:tc>
          <w:tcPr>
            <w:tcW w:w="1240" w:type="dxa"/>
            <w:vAlign w:val="bottom"/>
          </w:tcPr>
          <w:p>
            <w:pPr>
              <w:spacing w:after="0"/>
              <w:rPr>
                <w:sz w:val="17"/>
                <w:szCs w:val="17"/>
                <w:color w:val="auto"/>
              </w:rPr>
            </w:pPr>
          </w:p>
        </w:tc>
        <w:tc>
          <w:tcPr>
            <w:tcW w:w="7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(620 )</w:t>
            </w:r>
          </w:p>
        </w:tc>
        <w:tc>
          <w:tcPr>
            <w:tcW w:w="260" w:type="dxa"/>
            <w:vAlign w:val="bottom"/>
          </w:tcPr>
          <w:p>
            <w:pPr>
              <w:spacing w:after="0"/>
              <w:rPr>
                <w:sz w:val="17"/>
                <w:szCs w:val="17"/>
                <w:color w:val="auto"/>
              </w:rPr>
            </w:pPr>
          </w:p>
        </w:tc>
        <w:tc>
          <w:tcPr>
            <w:tcW w:w="1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(14,560 )</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Balance as of December 31, 2020</w:t>
            </w:r>
          </w:p>
        </w:tc>
        <w:tc>
          <w:tcPr>
            <w:tcW w:w="1240" w:type="dxa"/>
            <w:vAlign w:val="bottom"/>
            <w:tcBorders>
              <w:top w:val="single" w:sz="8" w:color="auto"/>
              <w:bottom w:val="single" w:sz="8" w:color="auto"/>
            </w:tcBorders>
            <w:shd w:val="clear" w:color="auto" w:fill="CFF0FC"/>
          </w:tcPr>
          <w:p>
            <w:pPr>
              <w:jc w:val="right"/>
              <w:ind w:right="1056"/>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-5080</wp:posOffset>
            </wp:positionV>
            <wp:extent cx="6858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-5080</wp:posOffset>
            </wp:positionV>
            <wp:extent cx="6858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28"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Immediately prior to the IPO, the Redeemable Convertible Preferred Stock Liability was converted in shares of Series B-2 Preferred Stock, which then converted into shares of common stock. As of December 31, 2020, the liability was retired.</w:t>
      </w:r>
    </w:p>
    <w:p>
      <w:pPr>
        <w:spacing w:after="0" w:line="63"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The Redeemable Convertible Preferred Stock Liability was measured at fair value under the following assumptions through redemption on October 6, 2020:</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6"/>
                <w:szCs w:val="16"/>
                <w:color w:val="auto"/>
              </w:rPr>
            </w:pPr>
          </w:p>
        </w:tc>
      </w:tr>
      <w:tr>
        <w:trPr>
          <w:trHeight w:val="196"/>
        </w:trPr>
        <w:tc>
          <w:tcPr>
            <w:tcW w:w="54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Exercise price</w:t>
            </w:r>
          </w:p>
        </w:tc>
        <w:tc>
          <w:tcPr>
            <w:tcW w:w="500" w:type="dxa"/>
            <w:vAlign w:val="bottom"/>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11.21</w:t>
            </w:r>
          </w:p>
        </w:tc>
        <w:tc>
          <w:tcPr>
            <w:tcW w:w="300" w:type="dxa"/>
            <w:vAlign w:val="bottom"/>
            <w:shd w:val="clear" w:color="auto" w:fill="CFF0FC"/>
          </w:tcPr>
          <w:p>
            <w:pPr>
              <w:spacing w:after="0"/>
              <w:rPr>
                <w:sz w:val="17"/>
                <w:szCs w:val="17"/>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Term (in years)</w:t>
            </w:r>
          </w:p>
        </w:tc>
        <w:tc>
          <w:tcPr>
            <w:tcW w:w="5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0.02-0.75</w:t>
            </w:r>
          </w:p>
        </w:tc>
        <w:tc>
          <w:tcPr>
            <w:tcW w:w="300" w:type="dxa"/>
            <w:vAlign w:val="bottom"/>
          </w:tcPr>
          <w:p>
            <w:pPr>
              <w:spacing w:after="0"/>
              <w:rPr>
                <w:sz w:val="17"/>
                <w:szCs w:val="17"/>
                <w:color w:val="auto"/>
              </w:rPr>
            </w:pPr>
          </w:p>
        </w:tc>
      </w:tr>
      <w:tr>
        <w:trPr>
          <w:trHeight w:val="203"/>
        </w:trPr>
        <w:tc>
          <w:tcPr>
            <w:tcW w:w="54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Risk-free interest rate</w:t>
            </w:r>
          </w:p>
        </w:tc>
        <w:tc>
          <w:tcPr>
            <w:tcW w:w="5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0.08%-0.11%</w:t>
            </w:r>
          </w:p>
        </w:tc>
        <w:tc>
          <w:tcPr>
            <w:tcW w:w="300" w:type="dxa"/>
            <w:vAlign w:val="bottom"/>
            <w:shd w:val="clear" w:color="auto" w:fill="CFF0FC"/>
          </w:tcPr>
          <w:p>
            <w:pPr>
              <w:spacing w:after="0"/>
              <w:rPr>
                <w:sz w:val="17"/>
                <w:szCs w:val="17"/>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500" w:type="dxa"/>
            <w:vAlign w:val="bottom"/>
          </w:tcPr>
          <w:p>
            <w:pPr>
              <w:spacing w:after="0"/>
              <w:rPr>
                <w:sz w:val="17"/>
                <w:szCs w:val="17"/>
                <w:color w:val="auto"/>
              </w:rPr>
            </w:pPr>
          </w:p>
        </w:tc>
        <w:tc>
          <w:tcPr>
            <w:tcW w:w="1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r>
      <w:tr>
        <w:trPr>
          <w:trHeight w:val="203"/>
        </w:trPr>
        <w:tc>
          <w:tcPr>
            <w:tcW w:w="54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Volatility</w:t>
            </w:r>
          </w:p>
        </w:tc>
        <w:tc>
          <w:tcPr>
            <w:tcW w:w="50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ind w:left="1380"/>
              <w:spacing w:after="0" w:line="202" w:lineRule="exact"/>
              <w:rPr>
                <w:sz w:val="20"/>
                <w:szCs w:val="20"/>
                <w:color w:val="auto"/>
              </w:rPr>
            </w:pPr>
            <w:r>
              <w:rPr>
                <w:rFonts w:ascii="Arial" w:cs="Arial" w:eastAsia="Arial" w:hAnsi="Arial"/>
                <w:sz w:val="18"/>
                <w:szCs w:val="18"/>
                <w:color w:val="auto"/>
              </w:rPr>
              <w:t>— %</w:t>
            </w:r>
          </w:p>
        </w:tc>
      </w:tr>
    </w:tbl>
    <w:p>
      <w:pPr>
        <w:spacing w:after="0" w:line="269"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The significant unobservable inputs that were used in the fair value measurement of the Redeemable Convertible Preferred Stock Liability included the probability of milestone achievement and/or milestone achievement waiver, the Series B-2 value estimate under each scenario, the term, and the equity volatility, which was a statistical measure of the dispersion of returns for a given security. Significant increases (decreases) in the milestone achievement and/or milestone waiver would have resulted in a significantly higher (lower) fair value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3" w:name="page144"/>
    <w:bookmarkEnd w:id="143"/>
    <w:p>
      <w:pPr>
        <w:ind w:right="140"/>
        <w:spacing w:after="0" w:line="270" w:lineRule="auto"/>
        <w:rPr>
          <w:sz w:val="20"/>
          <w:szCs w:val="20"/>
          <w:color w:val="auto"/>
        </w:rPr>
      </w:pPr>
      <w:r>
        <w:rPr>
          <w:rFonts w:ascii="Arial" w:cs="Arial" w:eastAsia="Arial" w:hAnsi="Arial"/>
          <w:sz w:val="17"/>
          <w:szCs w:val="17"/>
          <w:color w:val="auto"/>
        </w:rPr>
        <w:t>measurement. Significant decreases (increases) in assumed current or future Series B-2 value would have resulted in a significantly lower (higher) fair value measurement. Significant increases (decreases) in the term would have resulted in a significantly higher (lower) fair value measurement. Significant increases (decreases) in the volatility would have resulted in significantly higher (lower) fair value measurements.</w:t>
      </w:r>
    </w:p>
    <w:p>
      <w:pPr>
        <w:spacing w:after="0" w:line="268" w:lineRule="exact"/>
        <w:rPr>
          <w:sz w:val="20"/>
          <w:szCs w:val="20"/>
          <w:color w:val="auto"/>
        </w:rPr>
      </w:pPr>
    </w:p>
    <w:p>
      <w:pPr>
        <w:jc w:val="both"/>
        <w:ind w:right="8040" w:firstLine="8"/>
        <w:spacing w:after="0" w:line="434" w:lineRule="auto"/>
        <w:tabs>
          <w:tab w:leader="none" w:pos="260" w:val="left"/>
        </w:tabs>
        <w:numPr>
          <w:ilvl w:val="0"/>
          <w:numId w:val="6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License and collaboration agreements </w:t>
      </w:r>
      <w:r>
        <w:rPr>
          <w:rFonts w:ascii="Arial" w:cs="Arial" w:eastAsia="Arial" w:hAnsi="Arial"/>
          <w:sz w:val="15"/>
          <w:szCs w:val="15"/>
          <w:b w:val="1"/>
          <w:bCs w:val="1"/>
          <w:i w:val="1"/>
          <w:iCs w:val="1"/>
          <w:color w:val="auto"/>
        </w:rPr>
        <w:t>Agreement with Emory University (Emory)</w:t>
      </w:r>
    </w:p>
    <w:p>
      <w:pPr>
        <w:spacing w:after="0" w:line="1"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In June 2018, the Company entered into a license agreement with Emory (the Emory License Agreement), pursuant to which Emory granted the Company a worldwide, sublicenseable license under certain of its intellectual property rights to make, have made, develop, use, offer to sell, sell, import and export products containing certain compounds relating to Emory’s hepatitis B virus capsid assembly modulator technology, for all therapeutic and prophylactic uses. Such license is initially exclusive with respect to specified licensed patents owned by Emory and non-exclusive with respect to certain of Emory’s specified know-how. Beginning in June 2022, the license to such patents will become non-exclusive with respect to all fields except for the treatment and prevention of HBV; however, the Company may select up to six compounds which will maintain exclusivity with respect to all therapeutic and prophylactic uses. With respect to all other compounds that are enabled by the licensed patents, those which are jointly invented by the Company and Emory or inventors in the Schinazi laboratory, or which are disclosed in a specified licensed patent, are licensed to the Company exclusively including as to Emory; whereas all other such compounds are licensed to the Company non-exclusively. Under the terms of the Emory License Agreement, the Company is obligated to use commercially reasonable efforts to bring licensed products to market in accordance with a mutually agreed upon development plan. Unless terminated earlier by either party in accordance with the provisions thereof, the Emory License Agreement shall continue until the expiration of the last–to-expire of the patents licensed to the Company thereunder.</w:t>
      </w:r>
    </w:p>
    <w:p>
      <w:pPr>
        <w:spacing w:after="0" w:line="75"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In June 2020, the Company amended the license agreement with Emory. Pursuant to the amended license agreement, Emory granted the Company additional patent rights to certain compounds targeting the treatment or prevention of HBV. As consideration for the additional rights, the Company made a one-time, non-refundable payment to Emory in the amount of $150,000, with an additional obligation to pay up to a maximum of $35,000. On the same date, the Company entered into a collaboration agreement with Emory, with the initial research plan pertaining to the synthesis and evaluation of the compounds licensed through the additional patent rights granted in the amended license agreement. The research plan terminates one year from the effective date, with the Company having an option to extend for a second year. In connection with the research plan, the Company will provide Emory funding up to $270,000 per year.</w:t>
      </w:r>
    </w:p>
    <w:p>
      <w:pPr>
        <w:spacing w:after="0" w:line="83"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The Company has agreed to pay Emory up to an aggregate of $125.0 million upon the achievement of specified development, regulatory, and commercial milestones, and all ongoing patent costs. During the year ended December 31, 2021, the Company had $195,000 expenses related to milestone payments. During the year ended December 31, 2020, the Company made a payment of $4.5 million in relation to the first patient dosing in a clinical trial which was the first development milestone per the contract. The Company also agreed to pay Emory tiered single-digit royalties on worldwide annual net sales of licensed products, on a quarterly basis and calculated on a product-by-product basis. With respect to licensed products containing any of a specified subset of the licensed compounds, such royalties range from a mid-single digit to a high-single digit percentage rate. With respect to licensed products which do not contain such compounds, the royalties span a range of percentage rates within the mid-single digits if a Phase 1 clinical trial is initiated for the product within three years of the effective date of the Emory License Agreement, and range from a low-single digit to a mid-single digit rate if a Phase 1 clinical trial is initiated more than three years after the effective date. During the years ended December 31, 2021 and December 31, 2020, the Company made no payments associated with royalties.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Luxna Biotech Co., Ltd. (Luxna)</w:t>
      </w:r>
    </w:p>
    <w:p>
      <w:pPr>
        <w:spacing w:after="0" w:line="104"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On December 19, 2018, the Company entered into a license agreement with Luxna, pursuant to which Luxna granted the Company an exclusive, worldwide, sublicenseable license under certain of Luxna’s intellectual property rights to research, develop, make, have made, and commercialize for all therapeutic and prophylactic uses, (i) products containing oligonucleotides targeting the hepatitis B virus genome, (ii) products containing certain oligonucleotides targeting up to three genes which contribute to NASH, which the Company may select at any time during the first eight years of the term, to the extent not licensed to a third party, and (iii) products containing</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4" w:name="page145"/>
    <w:bookmarkEnd w:id="144"/>
    <w:p>
      <w:pPr>
        <w:ind w:right="60"/>
        <w:spacing w:after="0" w:line="261" w:lineRule="auto"/>
        <w:rPr>
          <w:sz w:val="20"/>
          <w:szCs w:val="20"/>
          <w:color w:val="auto"/>
        </w:rPr>
      </w:pPr>
      <w:r>
        <w:rPr>
          <w:rFonts w:ascii="Arial" w:cs="Arial" w:eastAsia="Arial" w:hAnsi="Arial"/>
          <w:sz w:val="18"/>
          <w:szCs w:val="18"/>
          <w:color w:val="auto"/>
        </w:rPr>
        <w:t>oligonucleotides targeting up to three genes which contribute to hepatocellular carcinoma, which the Company may select at any time during the first three years of the term. As consideration for this agreement, the Company paid an upfront license fee of $600,000.</w:t>
      </w:r>
    </w:p>
    <w:p>
      <w:pPr>
        <w:spacing w:after="0" w:line="63"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In April 2020, the Company amended the license agreement with Luxna. Pursuant to the amended license agreement, Luxna granted the Company an exclusive, worldwide license under the licensed patents to research, develop, make, have made and commercialize products containing oligonucleotides targeting three families of viruses: orthomyxoviridae, paramyxoviridae, and coronaviridae (a family which includes SARS-CoV-2). As consideration for the amended license agreement, the Company paid Luxna a one-time non-refundable fee of $200,000 on April 2020.</w:t>
      </w:r>
    </w:p>
    <w:p>
      <w:pPr>
        <w:spacing w:after="0" w:line="47"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The Company is obligated to make payments to Luxna, in aggregate, totaling up to but no more than $55.5 million upon the achievement of specified development, regulatory, and commercial milestones. During the year ended December 31, 2021, the Company recognized $500,000 related to milestone payments, and in the year ended December 31, 2020, the Company recognized no milestone payments. The Company is also required to pay Luxna a low-single digit royalty percentage on net sale of applicable products, if any. During the years ended December 31, 2021 and December 31, 2020, the Company made no payments associated with royalties.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Katholieke Universiteit Leuven (KU Leuven)</w:t>
      </w:r>
    </w:p>
    <w:p>
      <w:pPr>
        <w:spacing w:after="0" w:line="104"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On June 25, 2020, the Company entered into a Research, Licensing and Commercialization Agreement (KU Leuven Agreement) with KU Leuven, under which the Company is collaborating with KU Leuven’s Rega Institute for Medical Research, as well as its Centre for Drug Design and Discovery, to research and develop potential protease inhibitors for the treatment, diagnosis or prevention of coronaviruses, including of SARS-CoV-2. Unless terminated earlier by either party in accordance with provisions in the agreement, the collaboration period will terminate at the earlier of completion of all collaboration activities or 2.5 years. In connection with the KU Leuven Agreement, KU Leuven and the Company granted each other exclusive cross-licenses to use certain know-how and existing patents of the other party as well as certain joint know-how and joint patents to carry out research and development collaboration activities during the collaboration period. KU Leuven granted to the Company an exclusive (including as to KU Leuven), worldwide license under certain of KU Leuven’s know-how and existing patents, and certain joint patents and joint know-how, to manufacture and commercialize the licensed products for the treatment, diagnosis or detection of viral infections in humans. KU Leuven reserved the right to use all KU Leuven knowhow, existing KU Leuven patents, joint patents and joint know-how for academic and non-commercial research and teaching purposes. As consideration for this license, the Company is obligated to make payments to KU Leuven, in aggregate, totaling up to but no more than $30.0 million upon the achievement of certain commercial sales milestones. For each licensed product developed through KU Leuven and the Company’s collaborative effort, the Company is obligated to make payments to KU Leuven, in aggregate, totaling up to $32.0 million upon the achievement of certain development and regulatory milestones. The Company is also required to pay KU Leuven a low-to-mid-single digit royalty percentage, subject to certain adjustments, on net sales of applicable products, if any. Unless terminated earlier by either party, the agreement shall continue until the expiration of the last to expire royalty term, which is the later of the expiration or termination of the last valid patent claim covering the manufacture, use, sale or importation of the licensed product in a particular country or 10 years after the first commercial sale of a licensed product. During the years ended December 31, 2021 and December 31, 2020, the Company recognized no expenses related to milestone payments.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Merck</w:t>
      </w:r>
    </w:p>
    <w:p>
      <w:pPr>
        <w:spacing w:after="0" w:line="104"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In December 2020, the Company and Merck &amp; Co. entered into an exclusive License and Research Collaboration Agreement under which Merck and the Company agreed to apply the Company’s oligonucleotide platform technology to discover, research, optimize and develop oligonucleotides directed against a NASH target and up to one additional liver-targeted cardiometabolic and/or fibrosis target. Under the terms of the agreement, the Company received an upfront payment from Merck and may receive an additional upfront payment after finalization of a research plan for such additional target. With respect to each collaboration target, the Company will be eligible for up to $458.0 million in development and commercialization milestones as well as tiered royalties on net sales. The Company will be primarily responsible for designing, preparing and evaluating the oligonucleotide molecules and delivering optimized lead molecules, and Merck will be responsible for subsequent research, clinical development and commercialization efforts. The Company determined that the Merck agreement falls within the scope of ASC 808 and we analogized to ASC 606 for the accounting of payments such as upfront payments and other milestones. Revenue is recognized based on percentage of completion of the overall project. During the year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45" w:name="page146"/>
    <w:bookmarkEnd w:id="145"/>
    <w:p>
      <w:pPr>
        <w:jc w:val="both"/>
        <w:ind w:right="280"/>
        <w:spacing w:after="0" w:line="294" w:lineRule="auto"/>
        <w:rPr>
          <w:sz w:val="20"/>
          <w:szCs w:val="20"/>
          <w:color w:val="auto"/>
        </w:rPr>
      </w:pPr>
      <w:r>
        <w:rPr>
          <w:rFonts w:ascii="Arial" w:cs="Arial" w:eastAsia="Arial" w:hAnsi="Arial"/>
          <w:sz w:val="16"/>
          <w:szCs w:val="16"/>
          <w:color w:val="auto"/>
        </w:rPr>
        <w:t>ended December 31, 2021, the Company recognized $4.4 million in revenue from collaborative arrangements related to milestone payments. During the year ending December 31, 2020 the Company recognized no revenue from collaborative arrangements related to milestone payments. The unrecognized portion of the upfront payment received during 2020 is recorded on the consolidated balance sheet as Deferred Revenue from Collaborations.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the current provision for income taxes were as follows for the years ended December 31, 2021 and 2020:</w:t>
      </w:r>
    </w:p>
    <w:p>
      <w:pPr>
        <w:spacing w:after="0" w:line="217"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2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196"/>
        </w:trPr>
        <w:tc>
          <w:tcPr>
            <w:tcW w:w="5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240" w:type="dxa"/>
            <w:vAlign w:val="bottom"/>
          </w:tcPr>
          <w:p>
            <w:pPr>
              <w:ind w:left="180"/>
              <w:spacing w:after="0" w:line="202" w:lineRule="exact"/>
              <w:rPr>
                <w:sz w:val="20"/>
                <w:szCs w:val="20"/>
                <w:color w:val="auto"/>
              </w:rPr>
            </w:pPr>
            <w:r>
              <w:rPr>
                <w:rFonts w:ascii="Arial" w:cs="Arial" w:eastAsia="Arial" w:hAnsi="Arial"/>
                <w:sz w:val="18"/>
                <w:szCs w:val="18"/>
                <w:color w:val="auto"/>
              </w:rPr>
              <w:t>State</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r>
      <w:tr>
        <w:trPr>
          <w:trHeight w:val="202"/>
        </w:trPr>
        <w:tc>
          <w:tcPr>
            <w:tcW w:w="52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Federal</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r>
      <w:tr>
        <w:trPr>
          <w:trHeight w:val="203"/>
        </w:trPr>
        <w:tc>
          <w:tcPr>
            <w:tcW w:w="5240" w:type="dxa"/>
            <w:vAlign w:val="bottom"/>
          </w:tcPr>
          <w:p>
            <w:pPr>
              <w:ind w:left="180"/>
              <w:spacing w:after="0" w:line="202" w:lineRule="exact"/>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143</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w:t>
            </w:r>
          </w:p>
        </w:tc>
        <w:tc>
          <w:tcPr>
            <w:tcW w:w="80" w:type="dxa"/>
            <w:vAlign w:val="bottom"/>
          </w:tcPr>
          <w:p>
            <w:pPr>
              <w:spacing w:after="0"/>
              <w:rPr>
                <w:sz w:val="17"/>
                <w:szCs w:val="17"/>
                <w:color w:val="auto"/>
              </w:rPr>
            </w:pPr>
          </w:p>
        </w:tc>
      </w:tr>
      <w:tr>
        <w:trPr>
          <w:trHeight w:val="196"/>
        </w:trPr>
        <w:tc>
          <w:tcPr>
            <w:tcW w:w="524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current provision for income taxes</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143</w:t>
            </w:r>
          </w:p>
        </w:tc>
        <w:tc>
          <w:tcPr>
            <w:tcW w:w="1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161</w:t>
            </w:r>
          </w:p>
        </w:tc>
        <w:tc>
          <w:tcPr>
            <w:tcW w:w="80" w:type="dxa"/>
            <w:vAlign w:val="bottom"/>
            <w:tcBorders>
              <w:bottom w:val="single" w:sz="8" w:color="CFF0FC"/>
            </w:tcBorders>
            <w:shd w:val="clear" w:color="auto" w:fill="CFF0FC"/>
          </w:tcPr>
          <w:p>
            <w:pPr>
              <w:spacing w:after="0"/>
              <w:rPr>
                <w:sz w:val="17"/>
                <w:szCs w:val="17"/>
                <w:color w:val="auto"/>
              </w:rPr>
            </w:pPr>
          </w:p>
        </w:tc>
      </w:tr>
      <w:tr>
        <w:trPr>
          <w:trHeight w:val="398"/>
        </w:trPr>
        <w:tc>
          <w:tcPr>
            <w:tcW w:w="5240" w:type="dxa"/>
            <w:vAlign w:val="bottom"/>
          </w:tcPr>
          <w:p>
            <w:pPr>
              <w:spacing w:after="0"/>
              <w:rPr>
                <w:sz w:val="20"/>
                <w:szCs w:val="20"/>
                <w:color w:val="auto"/>
              </w:rPr>
            </w:pPr>
            <w:r>
              <w:rPr>
                <w:rFonts w:ascii="Arial" w:cs="Arial" w:eastAsia="Arial" w:hAnsi="Arial"/>
                <w:sz w:val="18"/>
                <w:szCs w:val="18"/>
                <w:color w:val="auto"/>
              </w:rPr>
              <w:t>Deferred:</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52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State</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r>
      <w:tr>
        <w:trPr>
          <w:trHeight w:val="203"/>
        </w:trPr>
        <w:tc>
          <w:tcPr>
            <w:tcW w:w="5240" w:type="dxa"/>
            <w:vAlign w:val="bottom"/>
          </w:tcPr>
          <w:p>
            <w:pPr>
              <w:ind w:left="180"/>
              <w:spacing w:after="0" w:line="202" w:lineRule="exact"/>
              <w:rPr>
                <w:sz w:val="20"/>
                <w:szCs w:val="20"/>
                <w:color w:val="auto"/>
              </w:rPr>
            </w:pPr>
            <w:r>
              <w:rPr>
                <w:rFonts w:ascii="Arial" w:cs="Arial" w:eastAsia="Arial" w:hAnsi="Arial"/>
                <w:sz w:val="18"/>
                <w:szCs w:val="18"/>
                <w:color w:val="auto"/>
              </w:rPr>
              <w:t>Federal</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52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240" w:type="dxa"/>
            <w:vAlign w:val="bottom"/>
          </w:tcPr>
          <w:p>
            <w:pPr>
              <w:ind w:left="360"/>
              <w:spacing w:after="0" w:line="196" w:lineRule="exact"/>
              <w:rPr>
                <w:sz w:val="20"/>
                <w:szCs w:val="20"/>
                <w:color w:val="auto"/>
              </w:rPr>
            </w:pPr>
            <w:r>
              <w:rPr>
                <w:rFonts w:ascii="Arial" w:cs="Arial" w:eastAsia="Arial" w:hAnsi="Arial"/>
                <w:sz w:val="18"/>
                <w:szCs w:val="18"/>
                <w:color w:val="auto"/>
              </w:rPr>
              <w:t>Total deferred provision for income taxes</w:t>
            </w: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-793750</wp:posOffset>
            </wp:positionV>
            <wp:extent cx="5143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-793750</wp:posOffset>
            </wp:positionV>
            <wp:extent cx="4318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-142240</wp:posOffset>
            </wp:positionV>
            <wp:extent cx="5143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-142240</wp:posOffset>
            </wp:positionV>
            <wp:extent cx="4318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did not have any deferred provision for income taxes for the years ended December 31, 2021 and 2020.</w:t>
      </w:r>
    </w:p>
    <w:p>
      <w:pPr>
        <w:spacing w:after="0" w:line="212"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A reconciliation of the expected income tax (benefit) computed using the federal statutory income tax rate to the Company’s effective income tax rate is as follows for the years ended December 31, 2021 and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52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6"/>
                <w:szCs w:val="16"/>
                <w:color w:val="auto"/>
              </w:rPr>
            </w:pPr>
          </w:p>
        </w:tc>
        <w:tc>
          <w:tcPr>
            <w:tcW w:w="1100" w:type="dxa"/>
            <w:vAlign w:val="bottom"/>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6"/>
        </w:trPr>
        <w:tc>
          <w:tcPr>
            <w:tcW w:w="1700" w:type="dxa"/>
            <w:vAlign w:val="bottom"/>
          </w:tcPr>
          <w:p>
            <w:pPr>
              <w:spacing w:after="0"/>
              <w:rPr>
                <w:sz w:val="17"/>
                <w:szCs w:val="17"/>
                <w:color w:val="auto"/>
              </w:rPr>
            </w:pPr>
          </w:p>
        </w:tc>
        <w:tc>
          <w:tcPr>
            <w:tcW w:w="3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7"/>
              </w:rPr>
              <w:t>Income tax computed at federal statutory rate</w:t>
            </w:r>
          </w:p>
        </w:tc>
        <w:tc>
          <w:tcPr>
            <w:tcW w:w="140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21.00</w:t>
            </w:r>
          </w:p>
        </w:tc>
        <w:tc>
          <w:tcPr>
            <w:tcW w:w="40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87"/>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21.00</w:t>
            </w:r>
          </w:p>
        </w:tc>
        <w:tc>
          <w:tcPr>
            <w:tcW w:w="3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87"/>
              </w:rPr>
              <w:t>%</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540" w:type="dxa"/>
            <w:vAlign w:val="bottom"/>
          </w:tcPr>
          <w:p>
            <w:pPr>
              <w:spacing w:after="0" w:line="202" w:lineRule="exact"/>
              <w:rPr>
                <w:sz w:val="20"/>
                <w:szCs w:val="20"/>
                <w:color w:val="auto"/>
              </w:rPr>
            </w:pPr>
            <w:r>
              <w:rPr>
                <w:rFonts w:ascii="Arial" w:cs="Arial" w:eastAsia="Arial" w:hAnsi="Arial"/>
                <w:sz w:val="18"/>
                <w:szCs w:val="18"/>
                <w:color w:val="auto"/>
              </w:rPr>
              <w:t>State taxes, net of federal benefit</w:t>
            </w:r>
          </w:p>
        </w:tc>
        <w:tc>
          <w:tcPr>
            <w:tcW w:w="292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6.91 %</w:t>
            </w:r>
          </w:p>
        </w:tc>
        <w:tc>
          <w:tcPr>
            <w:tcW w:w="14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6.90 %</w:t>
            </w:r>
          </w:p>
        </w:tc>
        <w:tc>
          <w:tcPr>
            <w:tcW w:w="1680" w:type="dxa"/>
            <w:vAlign w:val="bottom"/>
          </w:tcPr>
          <w:p>
            <w:pPr>
              <w:spacing w:after="0"/>
              <w:rPr>
                <w:sz w:val="17"/>
                <w:szCs w:val="17"/>
                <w:color w:val="auto"/>
              </w:rPr>
            </w:pPr>
          </w:p>
        </w:tc>
      </w:tr>
      <w:tr>
        <w:trPr>
          <w:trHeight w:val="202"/>
        </w:trPr>
        <w:tc>
          <w:tcPr>
            <w:tcW w:w="1700" w:type="dxa"/>
            <w:vAlign w:val="bottom"/>
          </w:tcPr>
          <w:p>
            <w:pPr>
              <w:spacing w:after="0"/>
              <w:rPr>
                <w:sz w:val="17"/>
                <w:szCs w:val="17"/>
                <w:color w:val="auto"/>
              </w:rPr>
            </w:pPr>
          </w:p>
        </w:tc>
        <w:tc>
          <w:tcPr>
            <w:tcW w:w="3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R&amp;D credit carryovers</w:t>
            </w:r>
          </w:p>
        </w:tc>
        <w:tc>
          <w:tcPr>
            <w:tcW w:w="2920" w:type="dxa"/>
            <w:vAlign w:val="bottom"/>
            <w:gridSpan w:val="3"/>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0.90 %</w:t>
            </w:r>
          </w:p>
        </w:tc>
        <w:tc>
          <w:tcPr>
            <w:tcW w:w="140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1.40 %</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540" w:type="dxa"/>
            <w:vAlign w:val="bottom"/>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292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-27.42 %</w:t>
            </w:r>
          </w:p>
        </w:tc>
        <w:tc>
          <w:tcPr>
            <w:tcW w:w="14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-27.24 %</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 based compensation</w:t>
            </w:r>
          </w:p>
        </w:tc>
        <w:tc>
          <w:tcPr>
            <w:tcW w:w="2920" w:type="dxa"/>
            <w:vAlign w:val="bottom"/>
            <w:gridSpan w:val="3"/>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-1.19 %</w:t>
            </w:r>
          </w:p>
        </w:tc>
        <w:tc>
          <w:tcPr>
            <w:tcW w:w="140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-0.24 %</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540" w:type="dxa"/>
            <w:vAlign w:val="bottom"/>
          </w:tcPr>
          <w:p>
            <w:pPr>
              <w:spacing w:after="0" w:line="202" w:lineRule="exact"/>
              <w:rPr>
                <w:sz w:val="20"/>
                <w:szCs w:val="20"/>
                <w:color w:val="auto"/>
              </w:rPr>
            </w:pPr>
            <w:r>
              <w:rPr>
                <w:rFonts w:ascii="Arial" w:cs="Arial" w:eastAsia="Arial" w:hAnsi="Arial"/>
                <w:sz w:val="18"/>
                <w:szCs w:val="18"/>
                <w:color w:val="auto"/>
              </w:rPr>
              <w:t>Permanent differences</w:t>
            </w:r>
          </w:p>
        </w:tc>
        <w:tc>
          <w:tcPr>
            <w:tcW w:w="292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-0.31 %</w:t>
            </w:r>
          </w:p>
        </w:tc>
        <w:tc>
          <w:tcPr>
            <w:tcW w:w="14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0.27 %</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Change in fair value of derivatives</w:t>
            </w:r>
          </w:p>
        </w:tc>
        <w:tc>
          <w:tcPr>
            <w:tcW w:w="2920" w:type="dxa"/>
            <w:vAlign w:val="bottom"/>
            <w:gridSpan w:val="3"/>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0.00 %</w:t>
            </w:r>
          </w:p>
        </w:tc>
        <w:tc>
          <w:tcPr>
            <w:tcW w:w="140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-2.25 %</w:t>
            </w:r>
          </w:p>
        </w:tc>
        <w:tc>
          <w:tcPr>
            <w:tcW w:w="1680" w:type="dxa"/>
            <w:vAlign w:val="bottom"/>
          </w:tcPr>
          <w:p>
            <w:pPr>
              <w:spacing w:after="0"/>
              <w:rPr>
                <w:sz w:val="17"/>
                <w:szCs w:val="17"/>
                <w:color w:val="auto"/>
              </w:rPr>
            </w:pPr>
          </w:p>
        </w:tc>
      </w:tr>
      <w:tr>
        <w:trPr>
          <w:trHeight w:val="183"/>
        </w:trPr>
        <w:tc>
          <w:tcPr>
            <w:tcW w:w="1700" w:type="dxa"/>
            <w:vAlign w:val="bottom"/>
          </w:tcPr>
          <w:p>
            <w:pPr>
              <w:spacing w:after="0"/>
              <w:rPr>
                <w:sz w:val="15"/>
                <w:szCs w:val="15"/>
                <w:color w:val="auto"/>
              </w:rPr>
            </w:pPr>
          </w:p>
        </w:tc>
        <w:tc>
          <w:tcPr>
            <w:tcW w:w="3540" w:type="dxa"/>
            <w:vAlign w:val="bottom"/>
          </w:tcPr>
          <w:p>
            <w:pPr>
              <w:spacing w:after="0" w:line="182" w:lineRule="exact"/>
              <w:rPr>
                <w:sz w:val="20"/>
                <w:szCs w:val="20"/>
                <w:color w:val="auto"/>
              </w:rPr>
            </w:pPr>
            <w:r>
              <w:rPr>
                <w:rFonts w:ascii="Arial" w:cs="Arial" w:eastAsia="Arial" w:hAnsi="Arial"/>
                <w:sz w:val="18"/>
                <w:szCs w:val="18"/>
                <w:color w:val="auto"/>
              </w:rPr>
              <w:t>Effective income tax rate</w:t>
            </w:r>
          </w:p>
        </w:tc>
        <w:tc>
          <w:tcPr>
            <w:tcW w:w="140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-0.11</w:t>
            </w:r>
          </w:p>
        </w:tc>
        <w:tc>
          <w:tcPr>
            <w:tcW w:w="40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87"/>
              </w:rPr>
              <w:t>%</w:t>
            </w:r>
          </w:p>
        </w:tc>
        <w:tc>
          <w:tcPr>
            <w:tcW w:w="1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-0.15</w:t>
            </w:r>
          </w:p>
        </w:tc>
        <w:tc>
          <w:tcPr>
            <w:tcW w:w="300" w:type="dxa"/>
            <w:vAlign w:val="bottom"/>
          </w:tcPr>
          <w:p>
            <w:pPr>
              <w:jc w:val="right"/>
              <w:ind w:right="50"/>
              <w:spacing w:after="0" w:line="182" w:lineRule="exact"/>
              <w:rPr>
                <w:sz w:val="20"/>
                <w:szCs w:val="20"/>
                <w:color w:val="auto"/>
              </w:rPr>
            </w:pPr>
            <w:r>
              <w:rPr>
                <w:rFonts w:ascii="Arial" w:cs="Arial" w:eastAsia="Arial" w:hAnsi="Arial"/>
                <w:sz w:val="18"/>
                <w:szCs w:val="18"/>
                <w:color w:val="auto"/>
                <w:w w:val="87"/>
              </w:rPr>
              <w:t>%</w:t>
            </w:r>
          </w:p>
        </w:tc>
        <w:tc>
          <w:tcPr>
            <w:tcW w:w="1680" w:type="dxa"/>
            <w:vAlign w:val="bottom"/>
          </w:tcPr>
          <w:p>
            <w:pPr>
              <w:spacing w:after="0"/>
              <w:rPr>
                <w:sz w:val="15"/>
                <w:szCs w:val="15"/>
                <w:color w:val="auto"/>
              </w:rPr>
            </w:pPr>
          </w:p>
        </w:tc>
      </w:tr>
      <w:tr>
        <w:trPr>
          <w:trHeight w:val="628"/>
        </w:trPr>
        <w:tc>
          <w:tcPr>
            <w:tcW w:w="1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00" w:type="dxa"/>
            <w:vAlign w:val="bottom"/>
          </w:tcPr>
          <w:p>
            <w:pPr>
              <w:jc w:val="right"/>
              <w:ind w:right="792"/>
              <w:spacing w:after="0"/>
              <w:rPr>
                <w:sz w:val="20"/>
                <w:szCs w:val="20"/>
                <w:color w:val="auto"/>
              </w:rPr>
            </w:pPr>
            <w:r>
              <w:rPr>
                <w:rFonts w:ascii="Arial" w:cs="Arial" w:eastAsia="Arial" w:hAnsi="Arial"/>
                <w:sz w:val="18"/>
                <w:szCs w:val="18"/>
                <w:color w:val="auto"/>
              </w:rPr>
              <w:t>141</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4"/>
        </w:trPr>
        <w:tc>
          <w:tcPr>
            <w:tcW w:w="1700" w:type="dxa"/>
            <w:vAlign w:val="bottom"/>
            <w:tcBorders>
              <w:bottom w:val="single" w:sz="8" w:color="9A9A9A"/>
            </w:tcBorders>
          </w:tcPr>
          <w:p>
            <w:pPr>
              <w:spacing w:after="0"/>
              <w:rPr>
                <w:sz w:val="6"/>
                <w:szCs w:val="6"/>
                <w:color w:val="auto"/>
              </w:rPr>
            </w:pPr>
          </w:p>
        </w:tc>
        <w:tc>
          <w:tcPr>
            <w:tcW w:w="354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4912995</wp:posOffset>
            </wp:positionH>
            <wp:positionV relativeFrom="paragraph">
              <wp:posOffset>-612140</wp:posOffset>
            </wp:positionV>
            <wp:extent cx="213995" cy="1625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3995" cy="162560"/>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-612140</wp:posOffset>
            </wp:positionV>
            <wp:extent cx="213995" cy="1625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3995" cy="1625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6" w:name="page147"/>
    <w:bookmarkEnd w:id="146"/>
    <w:p>
      <w:pPr>
        <w:ind w:left="520"/>
        <w:spacing w:after="0"/>
        <w:rPr>
          <w:sz w:val="20"/>
          <w:szCs w:val="20"/>
          <w:color w:val="auto"/>
        </w:rPr>
      </w:pPr>
      <w:r>
        <w:rPr>
          <w:rFonts w:ascii="Arial" w:cs="Arial" w:eastAsia="Arial" w:hAnsi="Arial"/>
          <w:sz w:val="18"/>
          <w:szCs w:val="18"/>
          <w:color w:val="auto"/>
        </w:rPr>
        <w:t>The components of the deferred tax assets and liabilities were as follows at December 31:</w:t>
      </w:r>
    </w:p>
    <w:p>
      <w:pPr>
        <w:spacing w:after="0" w:line="217"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r>
      <w:tr>
        <w:trPr>
          <w:trHeight w:val="196"/>
        </w:trPr>
        <w:tc>
          <w:tcPr>
            <w:tcW w:w="4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900" w:type="dxa"/>
            <w:vAlign w:val="bottom"/>
          </w:tcPr>
          <w:p>
            <w:pPr>
              <w:ind w:left="180"/>
              <w:spacing w:after="0" w:line="202" w:lineRule="exact"/>
              <w:rPr>
                <w:sz w:val="20"/>
                <w:szCs w:val="20"/>
                <w:color w:val="auto"/>
              </w:rPr>
            </w:pPr>
            <w:r>
              <w:rPr>
                <w:rFonts w:ascii="Arial" w:cs="Arial" w:eastAsia="Arial" w:hAnsi="Arial"/>
                <w:sz w:val="18"/>
                <w:szCs w:val="18"/>
                <w:color w:val="auto"/>
              </w:rPr>
              <w:t>Net operating loss carryforward</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72,425</w:t>
            </w:r>
          </w:p>
        </w:tc>
        <w:tc>
          <w:tcPr>
            <w:tcW w:w="20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41,930</w:t>
            </w:r>
          </w:p>
        </w:tc>
        <w:tc>
          <w:tcPr>
            <w:tcW w:w="120" w:type="dxa"/>
            <w:vAlign w:val="bottom"/>
          </w:tcPr>
          <w:p>
            <w:pPr>
              <w:spacing w:after="0"/>
              <w:rPr>
                <w:sz w:val="17"/>
                <w:szCs w:val="17"/>
                <w:color w:val="auto"/>
              </w:rPr>
            </w:pPr>
          </w:p>
        </w:tc>
      </w:tr>
      <w:tr>
        <w:trPr>
          <w:trHeight w:val="203"/>
        </w:trPr>
        <w:tc>
          <w:tcPr>
            <w:tcW w:w="49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Operating lease liabilities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4,622</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4,453</w:t>
            </w:r>
          </w:p>
        </w:tc>
        <w:tc>
          <w:tcPr>
            <w:tcW w:w="120" w:type="dxa"/>
            <w:vAlign w:val="bottom"/>
            <w:shd w:val="clear" w:color="auto" w:fill="CFF0FC"/>
          </w:tcPr>
          <w:p>
            <w:pPr>
              <w:spacing w:after="0"/>
              <w:rPr>
                <w:sz w:val="17"/>
                <w:szCs w:val="17"/>
                <w:color w:val="auto"/>
              </w:rPr>
            </w:pPr>
          </w:p>
        </w:tc>
      </w:tr>
      <w:tr>
        <w:trPr>
          <w:trHeight w:val="203"/>
        </w:trPr>
        <w:tc>
          <w:tcPr>
            <w:tcW w:w="4900" w:type="dxa"/>
            <w:vAlign w:val="bottom"/>
          </w:tcPr>
          <w:p>
            <w:pPr>
              <w:ind w:left="180"/>
              <w:spacing w:after="0" w:line="202" w:lineRule="exact"/>
              <w:rPr>
                <w:sz w:val="20"/>
                <w:szCs w:val="20"/>
                <w:color w:val="auto"/>
              </w:rPr>
            </w:pPr>
            <w:r>
              <w:rPr>
                <w:rFonts w:ascii="Arial" w:cs="Arial" w:eastAsia="Arial" w:hAnsi="Arial"/>
                <w:sz w:val="18"/>
                <w:szCs w:val="18"/>
                <w:color w:val="auto"/>
              </w:rPr>
              <w:t>Tax credits</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6,177</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4,639</w:t>
            </w:r>
          </w:p>
        </w:tc>
        <w:tc>
          <w:tcPr>
            <w:tcW w:w="120" w:type="dxa"/>
            <w:vAlign w:val="bottom"/>
          </w:tcPr>
          <w:p>
            <w:pPr>
              <w:spacing w:after="0"/>
              <w:rPr>
                <w:sz w:val="17"/>
                <w:szCs w:val="17"/>
                <w:color w:val="auto"/>
              </w:rPr>
            </w:pPr>
          </w:p>
        </w:tc>
      </w:tr>
      <w:tr>
        <w:trPr>
          <w:trHeight w:val="203"/>
        </w:trPr>
        <w:tc>
          <w:tcPr>
            <w:tcW w:w="49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accruals and reserves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1,461</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1,558</w:t>
            </w:r>
          </w:p>
        </w:tc>
        <w:tc>
          <w:tcPr>
            <w:tcW w:w="120" w:type="dxa"/>
            <w:vAlign w:val="bottom"/>
            <w:shd w:val="clear" w:color="auto" w:fill="CFF0FC"/>
          </w:tcPr>
          <w:p>
            <w:pPr>
              <w:spacing w:after="0"/>
              <w:rPr>
                <w:sz w:val="17"/>
                <w:szCs w:val="17"/>
                <w:color w:val="auto"/>
              </w:rPr>
            </w:pPr>
          </w:p>
        </w:tc>
      </w:tr>
      <w:tr>
        <w:trPr>
          <w:trHeight w:val="203"/>
        </w:trPr>
        <w:tc>
          <w:tcPr>
            <w:tcW w:w="4900" w:type="dxa"/>
            <w:vAlign w:val="bottom"/>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1,216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209</w:t>
            </w:r>
          </w:p>
        </w:tc>
        <w:tc>
          <w:tcPr>
            <w:tcW w:w="120" w:type="dxa"/>
            <w:vAlign w:val="bottom"/>
          </w:tcPr>
          <w:p>
            <w:pPr>
              <w:spacing w:after="0"/>
              <w:rPr>
                <w:sz w:val="17"/>
                <w:szCs w:val="17"/>
                <w:color w:val="auto"/>
              </w:rPr>
            </w:pPr>
          </w:p>
        </w:tc>
      </w:tr>
      <w:tr>
        <w:trPr>
          <w:trHeight w:val="203"/>
        </w:trPr>
        <w:tc>
          <w:tcPr>
            <w:tcW w:w="49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Deferred revenue</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2,140</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900" w:type="dxa"/>
            <w:vAlign w:val="bottom"/>
          </w:tcPr>
          <w:p>
            <w:pPr>
              <w:ind w:left="180"/>
              <w:spacing w:after="0" w:line="202" w:lineRule="exact"/>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7"/>
                <w:szCs w:val="17"/>
                <w:color w:val="auto"/>
              </w:rPr>
            </w:pPr>
          </w:p>
        </w:tc>
      </w:tr>
      <w:tr>
        <w:trPr>
          <w:trHeight w:val="196"/>
        </w:trPr>
        <w:tc>
          <w:tcPr>
            <w:tcW w:w="4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88,063</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52,799</w:t>
            </w:r>
          </w:p>
        </w:tc>
        <w:tc>
          <w:tcPr>
            <w:tcW w:w="120" w:type="dxa"/>
            <w:vAlign w:val="bottom"/>
            <w:shd w:val="clear" w:color="auto" w:fill="CFF0FC"/>
          </w:tcPr>
          <w:p>
            <w:pPr>
              <w:spacing w:after="0"/>
              <w:rPr>
                <w:sz w:val="17"/>
                <w:szCs w:val="17"/>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300" w:type="dxa"/>
            <w:vAlign w:val="bottom"/>
          </w:tcPr>
          <w:p>
            <w:pPr>
              <w:spacing w:after="0"/>
              <w:rPr>
                <w:sz w:val="17"/>
                <w:szCs w:val="17"/>
                <w:color w:val="auto"/>
              </w:rPr>
            </w:pPr>
          </w:p>
        </w:tc>
        <w:tc>
          <w:tcPr>
            <w:tcW w:w="12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(84,288 )</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(49,133 )</w:t>
            </w:r>
          </w:p>
        </w:tc>
      </w:tr>
      <w:tr>
        <w:trPr>
          <w:trHeight w:val="196"/>
        </w:trPr>
        <w:tc>
          <w:tcPr>
            <w:tcW w:w="490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Net deferred tax assets</w:t>
            </w: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3,775</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3,666</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4900" w:type="dxa"/>
            <w:vAlign w:val="bottom"/>
          </w:tcPr>
          <w:p>
            <w:pPr>
              <w:spacing w:after="0" w:line="196" w:lineRule="exact"/>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9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Right of use assets</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(3,205 )</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(2,857 )</w:t>
            </w:r>
          </w:p>
        </w:tc>
      </w:tr>
      <w:tr>
        <w:trPr>
          <w:trHeight w:val="203"/>
        </w:trPr>
        <w:tc>
          <w:tcPr>
            <w:tcW w:w="4900" w:type="dxa"/>
            <w:vAlign w:val="bottom"/>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9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Property and equipment</w:t>
            </w: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(570 )</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(809 )</w:t>
            </w:r>
          </w:p>
        </w:tc>
      </w:tr>
      <w:tr>
        <w:trPr>
          <w:trHeight w:val="20"/>
        </w:trPr>
        <w:tc>
          <w:tcPr>
            <w:tcW w:w="49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4900" w:type="dxa"/>
            <w:vAlign w:val="bottom"/>
          </w:tcPr>
          <w:p>
            <w:pPr>
              <w:ind w:left="360"/>
              <w:spacing w:after="0" w:line="196" w:lineRule="exact"/>
              <w:rPr>
                <w:sz w:val="20"/>
                <w:szCs w:val="20"/>
                <w:color w:val="auto"/>
              </w:rPr>
            </w:pPr>
            <w:r>
              <w:rPr>
                <w:rFonts w:ascii="Arial" w:cs="Arial" w:eastAsia="Arial" w:hAnsi="Arial"/>
                <w:sz w:val="18"/>
                <w:szCs w:val="18"/>
                <w:color w:val="auto"/>
              </w:rPr>
              <w:t>Total deferred tax liabilities</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(3,775 )</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(3,666 )</w:t>
            </w:r>
          </w:p>
        </w:tc>
      </w:tr>
      <w:tr>
        <w:trPr>
          <w:trHeight w:val="203"/>
        </w:trPr>
        <w:tc>
          <w:tcPr>
            <w:tcW w:w="4900" w:type="dxa"/>
            <w:vAlign w:val="bottom"/>
            <w:tcBorders>
              <w:bottom w:val="single" w:sz="8" w:color="CFF0FC"/>
            </w:tcBorders>
            <w:shd w:val="clear" w:color="auto" w:fill="CFF0FC"/>
          </w:tcPr>
          <w:p>
            <w:pPr>
              <w:ind w:left="360"/>
              <w:spacing w:after="0" w:line="202" w:lineRule="exact"/>
              <w:rPr>
                <w:sz w:val="20"/>
                <w:szCs w:val="20"/>
                <w:color w:val="auto"/>
              </w:rPr>
            </w:pPr>
            <w:r>
              <w:rPr>
                <w:rFonts w:ascii="Arial" w:cs="Arial" w:eastAsia="Arial" w:hAnsi="Arial"/>
                <w:sz w:val="18"/>
                <w:szCs w:val="18"/>
                <w:color w:val="auto"/>
              </w:rPr>
              <w:t>Total deferred income taxes</w:t>
            </w:r>
          </w:p>
        </w:tc>
        <w:tc>
          <w:tcPr>
            <w:tcW w:w="30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-793750</wp:posOffset>
            </wp:positionV>
            <wp:extent cx="6858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-793750</wp:posOffset>
            </wp:positionV>
            <wp:extent cx="6858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-270510</wp:posOffset>
            </wp:positionV>
            <wp:extent cx="6858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-270510</wp:posOffset>
            </wp:positionV>
            <wp:extent cx="6858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-5080</wp:posOffset>
            </wp:positionV>
            <wp:extent cx="6858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-5080</wp:posOffset>
            </wp:positionV>
            <wp:extent cx="6858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95"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Management believes that, based on a number of factors, including the Company’s historical operating performance and accumulated deficit, it is more likely than not that the deferred tax assets will not be utilized, such that a full valuation allowance has been recorded against the Company’s deferred tax assets. In assessing the reliability of deferred tax assets, management considers whether it is more likely than not that some portion or all of the deferred tax assets will not be realized on a jurisdiction by jurisdiction basis. The ultimate realization of deferred tax assets is dependent upon the generation of future taxable income during the periods in which those temporary differences become deductible. The valuation allowance increased by $35.2 million and $29.7 million during the years ended December 31, 2021 and 2020, respectively.</w:t>
      </w:r>
    </w:p>
    <w:p>
      <w:pPr>
        <w:spacing w:after="0" w:line="175" w:lineRule="exact"/>
        <w:rPr>
          <w:sz w:val="20"/>
          <w:szCs w:val="20"/>
          <w:color w:val="auto"/>
        </w:rPr>
      </w:pPr>
    </w:p>
    <w:p>
      <w:pPr>
        <w:ind w:right="20" w:firstLine="509"/>
        <w:spacing w:after="0" w:line="268" w:lineRule="auto"/>
        <w:rPr>
          <w:sz w:val="20"/>
          <w:szCs w:val="20"/>
          <w:color w:val="auto"/>
        </w:rPr>
      </w:pPr>
      <w:r>
        <w:rPr>
          <w:rFonts w:ascii="Arial" w:cs="Arial" w:eastAsia="Arial" w:hAnsi="Arial"/>
          <w:sz w:val="16"/>
          <w:szCs w:val="16"/>
          <w:color w:val="auto"/>
        </w:rPr>
        <w:t>As of December 31, 2021, the Company had $255.9 million of federal and $263.0 million of state net operating loss (NOL) carryforwards available to offset future taxable income. The Company’s federal NOL carryforwards can be carried forward indefinitely while state NOL carryforwards, if not utilized, will begin expiring in 2038. As of December 31, 2021, the Company had $1.5 million of Australia NOL carryforwards, which carryforward indefinitely. As of December 31, 2021, the Company had research and development credit carryforwards of $6.1 million and $3.0 million available to reduce future taxable income, if any, for federal and state income tax purposes, respectively. If not utilized, the federal credit carryforwards will begin expiring in 2038. The California credit carryforwards have no expiration. Under Sections 382 and 383 of the Code, and corresponding provisions of state law, if a corporation undergoes an “ownership change” (generally defined as a greater than 50 percentage point change (by value) in its equity ownership over a rolling three-year period), the Company’s ability to use its pre-change NOL carryforwards and other pre-change tax attributes to offset its post-change income may be limited. We performed an IRC Section 382 analysis in 2021 and determined there was an ownership change that resulted in Section 382 limitations. The ownership change limited our ability to utilize net operating losses against future taxable income but will not result in the expiration of any NOLs. We may in the future experience ownership changes as a result of changes in our stock ownership (some of which are not in our control). In addition, under current tax law, federal NOL carryforwards generated in periods after December 31, 2017, may be carried forward indefinitely but, in taxable years beginning after December 31, 2020, may only be used to offset 80% of our taxable income. For these reasons, our ability to utilize our NOL carryforwards and other tax attributes to reduce future tax liabilities may be limited.</w:t>
      </w:r>
    </w:p>
    <w:p>
      <w:pPr>
        <w:spacing w:after="0" w:line="175" w:lineRule="exact"/>
        <w:rPr>
          <w:sz w:val="20"/>
          <w:szCs w:val="20"/>
          <w:color w:val="auto"/>
        </w:rPr>
      </w:pPr>
    </w:p>
    <w:p>
      <w:pPr>
        <w:ind w:right="160" w:firstLine="509"/>
        <w:spacing w:after="0" w:line="284" w:lineRule="auto"/>
        <w:rPr>
          <w:sz w:val="20"/>
          <w:szCs w:val="20"/>
          <w:color w:val="auto"/>
        </w:rPr>
      </w:pPr>
      <w:r>
        <w:rPr>
          <w:rFonts w:ascii="Arial" w:cs="Arial" w:eastAsia="Arial" w:hAnsi="Arial"/>
          <w:sz w:val="16"/>
          <w:szCs w:val="16"/>
          <w:color w:val="auto"/>
        </w:rPr>
        <w:t xml:space="preserve">The Company adopted the provisions of FASB Accounting Standards Codification (ASC 740-10),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upon the date of incorporation. ASC 740-10 prescribes a comprehensive model for the recognition, measurement, presentation and disclosure in financial statements of any uncertain tax positions that have been taken or expected to be taken on a tax return. It is the Company’s policy to include penalties and interest expense related to income taxes as a component of other expense and interest expense, respectively, as necessary.</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47" w:name="page148"/>
    <w:bookmarkEnd w:id="147"/>
    <w:p>
      <w:pPr>
        <w:spacing w:after="0" w:line="270" w:lineRule="auto"/>
        <w:rPr>
          <w:sz w:val="20"/>
          <w:szCs w:val="20"/>
          <w:color w:val="auto"/>
        </w:rPr>
      </w:pPr>
      <w:r>
        <w:rPr>
          <w:rFonts w:ascii="Arial" w:cs="Arial" w:eastAsia="Arial" w:hAnsi="Arial"/>
          <w:sz w:val="17"/>
          <w:szCs w:val="17"/>
          <w:color w:val="auto"/>
        </w:rPr>
        <w:t>During the years ended December 31, 2021 and 2020, the Company had not recognized any tax-related penalties or interest. No liability related to uncertain tax positions is recorded on the financial statements related to uncertain tax positions. It is the Company's policy to include penalties and interest expense related to income taxes as a component of other expense and interest expense, respectively, as necessary:</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0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19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beginning of the period</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1,536</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637</w:t>
            </w:r>
          </w:p>
        </w:tc>
        <w:tc>
          <w:tcPr>
            <w:tcW w:w="8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Increase related to prior year positions</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c>
          <w:tcPr>
            <w:tcW w:w="80" w:type="dxa"/>
            <w:vAlign w:val="bottom"/>
          </w:tcPr>
          <w:p>
            <w:pPr>
              <w:spacing w:after="0"/>
              <w:rPr>
                <w:sz w:val="17"/>
                <w:szCs w:val="17"/>
                <w:color w:val="auto"/>
              </w:rPr>
            </w:pPr>
          </w:p>
        </w:tc>
      </w:tr>
      <w:tr>
        <w:trPr>
          <w:trHeight w:val="203"/>
        </w:trPr>
        <w:tc>
          <w:tcPr>
            <w:tcW w:w="50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Increase related to current year positions</w:t>
            </w:r>
          </w:p>
        </w:tc>
        <w:tc>
          <w:tcPr>
            <w:tcW w:w="3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842</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768</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080" w:type="dxa"/>
            <w:vAlign w:val="bottom"/>
          </w:tcPr>
          <w:p>
            <w:pPr>
              <w:spacing w:after="0" w:line="196" w:lineRule="exact"/>
              <w:rPr>
                <w:sz w:val="20"/>
                <w:szCs w:val="20"/>
                <w:color w:val="auto"/>
              </w:rPr>
            </w:pPr>
            <w:r>
              <w:rPr>
                <w:rFonts w:ascii="Arial" w:cs="Arial" w:eastAsia="Arial" w:hAnsi="Arial"/>
                <w:sz w:val="18"/>
                <w:szCs w:val="18"/>
                <w:color w:val="auto"/>
              </w:rPr>
              <w:t>Balance, ending of the period</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2,441</w:t>
            </w:r>
          </w:p>
        </w:tc>
        <w:tc>
          <w:tcPr>
            <w:tcW w:w="16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1,536</w:t>
            </w: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-142240</wp:posOffset>
            </wp:positionV>
            <wp:extent cx="4318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-142240</wp:posOffset>
            </wp:positionV>
            <wp:extent cx="4318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9" w:lineRule="exact"/>
        <w:rPr>
          <w:sz w:val="20"/>
          <w:szCs w:val="20"/>
          <w:color w:val="auto"/>
        </w:rPr>
      </w:pPr>
    </w:p>
    <w:p>
      <w:pPr>
        <w:ind w:right="100" w:firstLine="509"/>
        <w:spacing w:after="0" w:line="324" w:lineRule="auto"/>
        <w:rPr>
          <w:sz w:val="20"/>
          <w:szCs w:val="20"/>
          <w:color w:val="auto"/>
        </w:rPr>
      </w:pPr>
      <w:r>
        <w:rPr>
          <w:rFonts w:ascii="Arial" w:cs="Arial" w:eastAsia="Arial" w:hAnsi="Arial"/>
          <w:sz w:val="16"/>
          <w:szCs w:val="16"/>
          <w:color w:val="auto"/>
        </w:rPr>
        <w:t>The Company does not expect that its uncertain tax positions will materially change in the next twelve months. The reversal of the uncertain tax benefits would not impact the Company's effective tax rate as the Company continues to maintain a full valuation allowance against its deferred tax assets.</w:t>
      </w:r>
    </w:p>
    <w:p>
      <w:pPr>
        <w:spacing w:after="0" w:line="16" w:lineRule="exact"/>
        <w:rPr>
          <w:sz w:val="20"/>
          <w:szCs w:val="20"/>
          <w:color w:val="auto"/>
        </w:rPr>
      </w:pPr>
    </w:p>
    <w:p>
      <w:pPr>
        <w:ind w:right="180" w:firstLine="509"/>
        <w:spacing w:after="0" w:line="270" w:lineRule="auto"/>
        <w:rPr>
          <w:sz w:val="20"/>
          <w:szCs w:val="20"/>
          <w:color w:val="auto"/>
        </w:rPr>
      </w:pPr>
      <w:r>
        <w:rPr>
          <w:rFonts w:ascii="Arial" w:cs="Arial" w:eastAsia="Arial" w:hAnsi="Arial"/>
          <w:sz w:val="17"/>
          <w:szCs w:val="17"/>
          <w:color w:val="auto"/>
        </w:rPr>
        <w:t>The Company files income tax returns in the United States, including California, and other states, Australia, Belgium, and China. The Company is not currently under examination by income tax authorities in federal, state or other jurisdictions. All tax returns will remain open for examination by the federal, state and foreign authorities for three or four years, from the date of utilization of any net operating loss or credits.</w:t>
      </w:r>
    </w:p>
    <w:p>
      <w:pPr>
        <w:spacing w:after="0" w:line="56" w:lineRule="exact"/>
        <w:rPr>
          <w:sz w:val="20"/>
          <w:szCs w:val="20"/>
          <w:color w:val="auto"/>
        </w:rPr>
      </w:pPr>
    </w:p>
    <w:p>
      <w:pPr>
        <w:ind w:right="220" w:firstLine="509"/>
        <w:spacing w:after="0" w:line="259" w:lineRule="auto"/>
        <w:rPr>
          <w:sz w:val="20"/>
          <w:szCs w:val="20"/>
          <w:color w:val="auto"/>
        </w:rPr>
      </w:pPr>
      <w:r>
        <w:rPr>
          <w:rFonts w:ascii="Arial" w:cs="Arial" w:eastAsia="Arial" w:hAnsi="Arial"/>
          <w:sz w:val="17"/>
          <w:szCs w:val="17"/>
          <w:color w:val="auto"/>
        </w:rPr>
        <w:t>In January 2018, the FASB released guidance on the accounting for tax on the global intangible low-taxed income (GILTI) provisions of the Tax Reform Act. The GILTI provisions impose a tax on foreign income in excess of a deemed return on tangible assets of foreign corporations. The guidance allows companies to make an accounting policy election to either (i) account for GILTI as a component of tax expense in the period in which they are subject to the rules (the period cost method), or (ii) account for GILTI in the Company’s measurement of deferred taxes (the deferred method). After completing the analysis of the GILTI provisions, the Company elected to account for GILTI using the period cost method.</w:t>
      </w:r>
    </w:p>
    <w:p>
      <w:pPr>
        <w:spacing w:after="0" w:line="174"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On March 27, 2020, the “Coronavirus Aid, Relief and Economic Security (CARES) Act” (the “Act”) was signed into law. The Act includes provisions relating to refundable payroll tax credits, deferment of the employer portion of certain payroll taxes, net operating loss carryback periods, alternative minimum tax credit refunds, modifications to the net interest deduction limitations and technical corrections to tax depreciation methods for qualified improvement property. The Company analyzed the provisions of the Act and determined there was no significant impact to its income taxes for the year ended December 31, 2021.</w:t>
      </w:r>
    </w:p>
    <w:p>
      <w:pPr>
        <w:spacing w:after="0" w:line="189"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On June 29, 2020, the California Governor signed Assembly Bill 85 (A.B. 85), which now becomes California law. A.B. 85, which includes several tax measures, provides for a three-year suspension of the use of net operating losses for medium and large businesses and a three-year cap on the use of business incentive tax credits to offset no more than $5 million of tax per year. Generally, A.B. 85 suspends the use of net operating losses for taxable years 2020, 2021, and 2022 for taxpayers with taxable income of $1 million or more.” Since the Company is not expected to generate California source taxable income of more than $1 million, no material impact is anticipated at this time.</w:t>
      </w:r>
    </w:p>
    <w:p>
      <w:pPr>
        <w:spacing w:after="0" w:line="81"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On December 27, 2020, the “Consolidated Appropriations Act, 2021” (the CAA) was signed into law. The CAA includes provisions meant to clarify and modify certain items put forth in CARES Act, while providing aid to businesses affected by the pandemic. The CAA allows deductions for expenses paid for by Paycheck Protection Program (PPP) and Economic Injury Disaster Loan (EIDL) Program, clarifies forgiveness of EIDL advances, and other business provisions. The Company analyzed the provisions of the CAA and determined there was no significant impact to its 2021 tax provision.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08"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From time to time, the Company may have certain contingent liabilities, including legal matters that arise in the ordinary course of its business activities. The Company accrues a liability for such matters when it is probable that future expenditures will be made, and such expenditures can be reasonably estimated. The Company had no contingent liabilities requiring accrual as of December 31, 2021 and 2020. The Company enters into contracts in the normal course of business that includes arrangements with clinical research organizations, vendors for preclinical research and vendors for manufacturing. These agreements generally allow for cancellation with notice. As of December 31, 2021, the Company had non-cancellable purchase commitments of approximately $1.9 million related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to the discontinued development of STOPS</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drug candidate. Refer to note 16, </w:t>
      </w:r>
      <w:r>
        <w:rPr>
          <w:rFonts w:ascii="Arial" w:cs="Arial" w:eastAsia="Arial" w:hAnsi="Arial"/>
          <w:sz w:val="18"/>
          <w:szCs w:val="18"/>
          <w:i w:val="1"/>
          <w:iCs w:val="1"/>
          <w:color w:val="auto"/>
        </w:rPr>
        <w:t>Subsequent Events</w:t>
      </w:r>
      <w:r>
        <w:rPr>
          <w:rFonts w:ascii="Arial" w:cs="Arial" w:eastAsia="Arial" w:hAnsi="Arial"/>
          <w:sz w:val="18"/>
          <w:szCs w:val="18"/>
          <w:color w:val="auto"/>
        </w:rPr>
        <w:t>, for further details.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Benefit plans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04"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The Company established a defined contribution savings plan under Section 401(k) of the Internal Revenue Code. This plan covers substantially all employees who meet minimum age and service requirements and allows participants to defer a portion of their annual compensation on a pre-tax basis. The Company made matching contributions of $690,000 and $432,000 to the plan during the years ended December 31, 2021 and 2020,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plans—regular pension plan</w:t>
      </w:r>
    </w:p>
    <w:p>
      <w:pPr>
        <w:spacing w:after="0" w:line="104"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 xml:space="preserve">ASC Topic 715, </w:t>
      </w:r>
      <w:r>
        <w:rPr>
          <w:rFonts w:ascii="Arial" w:cs="Arial" w:eastAsia="Arial" w:hAnsi="Arial"/>
          <w:sz w:val="18"/>
          <w:szCs w:val="18"/>
          <w:i w:val="1"/>
          <w:iCs w:val="1"/>
          <w:color w:val="auto"/>
        </w:rPr>
        <w:t>Compensation—Retirement Benefits</w:t>
      </w:r>
      <w:r>
        <w:rPr>
          <w:rFonts w:ascii="Arial" w:cs="Arial" w:eastAsia="Arial" w:hAnsi="Arial"/>
          <w:sz w:val="18"/>
          <w:szCs w:val="18"/>
          <w:color w:val="auto"/>
        </w:rPr>
        <w:t>,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and (c) recognize changes in the funded status of a defined benefit post retirement plan in the year in which the changes occur. Accordingly, the Company is required to report changes in its funded status on its consolidated statement of stockholders’ deficit and consolidated statement of operations and comprehensive loss.</w:t>
      </w:r>
    </w:p>
    <w:p>
      <w:pPr>
        <w:spacing w:after="0" w:line="81" w:lineRule="exact"/>
        <w:rPr>
          <w:sz w:val="20"/>
          <w:szCs w:val="20"/>
          <w:color w:val="auto"/>
        </w:rPr>
      </w:pPr>
    </w:p>
    <w:p>
      <w:pPr>
        <w:ind w:right="100" w:firstLine="509"/>
        <w:spacing w:after="0" w:line="294" w:lineRule="auto"/>
        <w:rPr>
          <w:sz w:val="20"/>
          <w:szCs w:val="20"/>
          <w:color w:val="auto"/>
        </w:rPr>
      </w:pPr>
      <w:r>
        <w:rPr>
          <w:rFonts w:ascii="Arial" w:cs="Arial" w:eastAsia="Arial" w:hAnsi="Arial"/>
          <w:sz w:val="16"/>
          <w:szCs w:val="16"/>
          <w:color w:val="auto"/>
        </w:rPr>
        <w:t>Aligos-Belgium offers its employees a regular pension plan in the form of a defined contribution plan (the Regular Pension Plan), which contains a 1.75% legally required minimum rate of return for the participants. The Regular Pension Plan does not meet all the requirements that are needed for recognition of the plans as a defined contribution plan. The Company therefore recognizes the Regular Pension Plan as a defined benefit plan.</w:t>
      </w:r>
    </w:p>
    <w:p>
      <w:pPr>
        <w:spacing w:after="0" w:line="39" w:lineRule="exact"/>
        <w:rPr>
          <w:sz w:val="20"/>
          <w:szCs w:val="20"/>
          <w:color w:val="auto"/>
        </w:rPr>
      </w:pPr>
    </w:p>
    <w:p>
      <w:pPr>
        <w:ind w:right="440" w:firstLine="509"/>
        <w:spacing w:after="0" w:line="248" w:lineRule="auto"/>
        <w:rPr>
          <w:sz w:val="20"/>
          <w:szCs w:val="20"/>
          <w:color w:val="auto"/>
        </w:rPr>
      </w:pPr>
      <w:r>
        <w:rPr>
          <w:rFonts w:ascii="Arial" w:cs="Arial" w:eastAsia="Arial" w:hAnsi="Arial"/>
          <w:sz w:val="18"/>
          <w:szCs w:val="18"/>
          <w:color w:val="auto"/>
        </w:rPr>
        <w:t>The Company measures the fair value of the Regular Plan assets by using Level 3 inputs, unobservable inputs that are supported by little or no market activity that are significant to determining the fair value of assets, including pricing models, discounted cash flow methodologies and similar techniques.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net periodic benefit cost of the Pension Plan was $249,000 and $268,000, and is recognized in accrued liabilities on the consolidated balance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sheet as of December 31, 2021 and 2020, respectively. At December 31, 2021, the projected benefit obligation was $1.0 million, the plan assets were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$886,000 and the net pension liability was $116,000. As of December 31, 2020, the projected benefit obligation was $897,000, the plan assets were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$636,000, and the net pension liability was $261,000. The Company has recorded the unfunded amount as a liability in its consolidated balance sheet at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and 2020, under the accrued liabilities caption. The unrealized actuarial gain and loss on pension benefits, net of tax, at December 31,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2021 and 2020 was $127,000 and $84,000, respectively. These amounts were reflected in other comprehensive loss under the caption gain (loss) on pension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plans. The Company expects to make contributions to the Pension Plan of approximately $272,000 during 2022. The Company estimates future benefit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payments from 2022 to 2026 to be $411,000, and from 2027 thereafter to be $538,000.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plans—Top Hat Plan</w:t>
      </w:r>
    </w:p>
    <w:p>
      <w:pPr>
        <w:spacing w:after="0" w:line="104"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In Aligos-Belgium, the Company established a pension bonus complementary plan (the Top Hat Plan), where the bonus payments to each</w:t>
      </w:r>
    </w:p>
    <w:p>
      <w:pPr>
        <w:spacing w:after="0" w:line="23"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participant are added to the Top Hat Plan. The annual contributions to this plan are based on performance and determined on a discretionary basis by the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Company. The Top Hat Plan contains a legal yield guarantee of 1.75%. The Top Hat Plan became effective as of January 1, 2019.</w:t>
      </w:r>
    </w:p>
    <w:p>
      <w:pPr>
        <w:spacing w:after="0" w:line="116"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In 2019, the Company accounted for the Top Hat Plan in accordance with ASC 715—</w:t>
      </w:r>
      <w:r>
        <w:rPr>
          <w:rFonts w:ascii="Arial" w:cs="Arial" w:eastAsia="Arial" w:hAnsi="Arial"/>
          <w:sz w:val="18"/>
          <w:szCs w:val="18"/>
          <w:i w:val="1"/>
          <w:iCs w:val="1"/>
          <w:color w:val="auto"/>
        </w:rPr>
        <w:t>Compensation—Retirement Benefits</w:t>
      </w:r>
      <w:r>
        <w:rPr>
          <w:rFonts w:ascii="Arial" w:cs="Arial" w:eastAsia="Arial" w:hAnsi="Arial"/>
          <w:sz w:val="18"/>
          <w:szCs w:val="18"/>
          <w:color w:val="auto"/>
        </w:rPr>
        <w:t>, once it became effective. The Top Hat Plan does not meet all the requirements that are needed for recognition as a defined contribution plan. The Company therefore recognizes the Top Hat Plan as a defined benefit plan.</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net periodic benefit cost of the Top Hat Plan was $389,000 and $916,000, and is recognized in accrued liabilities on the consolidated balance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sheet as of December 31, 2021 and 2020, respectively. At December 31, 2021, the projected benefit obligation was $1.7 million, the plan assets were $1.2</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million and the net pension liability was $463,000. As of December 31, 2020, the projected benefit obligation was $1.7 million, the plan assets were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$629,000, and the net pension liability was $1.1 million. The Company has recorded the unfunded amount as a liability in its consolidated balance sheet at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 under the accrued liabilities caption. The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49" w:name="page150"/>
    <w:bookmarkEnd w:id="149"/>
    <w:p>
      <w:pPr>
        <w:jc w:val="both"/>
        <w:ind w:right="40"/>
        <w:spacing w:after="0" w:line="243" w:lineRule="auto"/>
        <w:rPr>
          <w:sz w:val="20"/>
          <w:szCs w:val="20"/>
          <w:color w:val="auto"/>
        </w:rPr>
      </w:pPr>
      <w:r>
        <w:rPr>
          <w:rFonts w:ascii="Arial" w:cs="Arial" w:eastAsia="Arial" w:hAnsi="Arial"/>
          <w:sz w:val="18"/>
          <w:szCs w:val="18"/>
          <w:color w:val="auto"/>
        </w:rPr>
        <w:t>unrealized actuarial gain and loss on pension benefits, net of tax, at December 31, 2021 and 2020 was $472,000 and $52,000, respectively. These amounts were reflected in other comprehensive loss under the caption gain (loss) on pension plans. The Company expects to make contributions to the Pension Plan of approximately $382,000 during 2022. The Company estimates future benefit payments from 2022 to 2026 to be $79,000, and from 2027 thereafter to be $281,000.</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loss per share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computation of basic and diluted net loss per share of the Company:</w:t>
      </w:r>
    </w:p>
    <w:p>
      <w:pPr>
        <w:spacing w:after="0" w:line="257"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40" w:type="dxa"/>
            <w:vAlign w:val="bottom"/>
            <w:gridSpan w:val="5"/>
          </w:tcPr>
          <w:p>
            <w:pPr>
              <w:jc w:val="right"/>
              <w:ind w:right="95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4980" w:type="dxa"/>
            <w:vAlign w:val="bottom"/>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5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(128,332</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(108,543</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62"/>
        </w:trPr>
        <w:tc>
          <w:tcPr>
            <w:tcW w:w="4980" w:type="dxa"/>
            <w:vAlign w:val="bottom"/>
          </w:tcPr>
          <w:p>
            <w:pPr>
              <w:ind w:left="20"/>
              <w:spacing w:after="0" w:line="162" w:lineRule="exact"/>
              <w:rPr>
                <w:sz w:val="20"/>
                <w:szCs w:val="20"/>
                <w:color w:val="auto"/>
              </w:rPr>
            </w:pPr>
            <w:r>
              <w:rPr>
                <w:rFonts w:ascii="Arial" w:cs="Arial" w:eastAsia="Arial" w:hAnsi="Arial"/>
                <w:sz w:val="18"/>
                <w:szCs w:val="18"/>
                <w:color w:val="auto"/>
              </w:rPr>
              <w:t>Weighted average common stock outstanding, basic</w:t>
            </w:r>
          </w:p>
        </w:tc>
        <w:tc>
          <w:tcPr>
            <w:tcW w:w="54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39,855,403</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9,988,191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160"/>
              <w:spacing w:after="0" w:line="202" w:lineRule="exact"/>
              <w:rPr>
                <w:sz w:val="20"/>
                <w:szCs w:val="20"/>
                <w:color w:val="auto"/>
              </w:rPr>
            </w:pPr>
            <w:r>
              <w:rPr>
                <w:rFonts w:ascii="Arial" w:cs="Arial" w:eastAsia="Arial" w:hAnsi="Arial"/>
                <w:sz w:val="18"/>
                <w:szCs w:val="18"/>
                <w:color w:val="auto"/>
              </w:rPr>
              <w:t>and diluted</w:t>
            </w:r>
          </w:p>
        </w:tc>
        <w:tc>
          <w:tcPr>
            <w:tcW w:w="5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per share – basic and diluted</w:t>
            </w:r>
          </w:p>
        </w:tc>
        <w:tc>
          <w:tcPr>
            <w:tcW w:w="5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(3.22</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(10.87</w:t>
            </w:r>
          </w:p>
        </w:tc>
        <w:tc>
          <w:tcPr>
            <w:tcW w:w="1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-5080</wp:posOffset>
            </wp:positionV>
            <wp:extent cx="7747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-5080</wp:posOffset>
            </wp:positionV>
            <wp:extent cx="6858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36"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The Company’s potentially dilutive securities, which include redeemable convertible preferred stock, forward contracts to issue Preferred Stock, options to purchase common stock and unvested restricted stock, have been excluded from the computation of diluted net loss per share as the effect would be to reduce the net loss per share. Therefore, the weighted-average number of shares of Common Stock outstanding used to calculate both basic and diluted net loss per share is the same. The Company excluded the following potential shares of Common Stock, presented based on amounts outstanding at each period end, from the computation of diluted net loss per share for the periods indicated because including them would have had an anti-dilutive effect:</w:t>
      </w:r>
    </w:p>
    <w:p>
      <w:pPr>
        <w:spacing w:after="0" w:line="205"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6"/>
                <w:szCs w:val="16"/>
                <w:color w:val="auto"/>
              </w:rPr>
            </w:pPr>
          </w:p>
        </w:tc>
      </w:tr>
      <w:tr>
        <w:trPr>
          <w:trHeight w:val="183"/>
        </w:trPr>
        <w:tc>
          <w:tcPr>
            <w:tcW w:w="5340" w:type="dxa"/>
            <w:vAlign w:val="bottom"/>
          </w:tcPr>
          <w:p>
            <w:pPr>
              <w:spacing w:after="0"/>
              <w:rPr>
                <w:sz w:val="15"/>
                <w:szCs w:val="15"/>
                <w:color w:val="auto"/>
              </w:rPr>
            </w:pPr>
          </w:p>
        </w:tc>
        <w:tc>
          <w:tcPr>
            <w:tcW w:w="1540" w:type="dxa"/>
            <w:vAlign w:val="bottom"/>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58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r>
      <w:tr>
        <w:trPr>
          <w:trHeight w:val="196"/>
        </w:trPr>
        <w:tc>
          <w:tcPr>
            <w:tcW w:w="53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Options to purchase common stock</w:t>
            </w:r>
          </w:p>
        </w:tc>
        <w:tc>
          <w:tcPr>
            <w:tcW w:w="1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5,692,514</w:t>
            </w:r>
          </w:p>
        </w:tc>
        <w:tc>
          <w:tcPr>
            <w:tcW w:w="20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3,344,765</w:t>
            </w:r>
          </w:p>
        </w:tc>
        <w:tc>
          <w:tcPr>
            <w:tcW w:w="60" w:type="dxa"/>
            <w:vAlign w:val="bottom"/>
            <w:shd w:val="clear" w:color="auto" w:fill="CFF0FC"/>
          </w:tcPr>
          <w:p>
            <w:pPr>
              <w:spacing w:after="0"/>
              <w:rPr>
                <w:sz w:val="17"/>
                <w:szCs w:val="17"/>
                <w:color w:val="auto"/>
              </w:rPr>
            </w:pPr>
          </w:p>
        </w:tc>
      </w:tr>
      <w:tr>
        <w:trPr>
          <w:trHeight w:val="203"/>
        </w:trPr>
        <w:tc>
          <w:tcPr>
            <w:tcW w:w="5340" w:type="dxa"/>
            <w:vAlign w:val="bottom"/>
          </w:tcPr>
          <w:p>
            <w:pPr>
              <w:ind w:left="20"/>
              <w:spacing w:after="0" w:line="202" w:lineRule="exact"/>
              <w:rPr>
                <w:sz w:val="20"/>
                <w:szCs w:val="20"/>
                <w:color w:val="auto"/>
              </w:rPr>
            </w:pPr>
            <w:r>
              <w:rPr>
                <w:rFonts w:ascii="Arial" w:cs="Arial" w:eastAsia="Arial" w:hAnsi="Arial"/>
                <w:sz w:val="18"/>
                <w:szCs w:val="18"/>
                <w:color w:val="auto"/>
              </w:rPr>
              <w:t>Unvested restricted stock</w:t>
            </w: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89,054</w:t>
            </w: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408,396</w:t>
            </w:r>
          </w:p>
        </w:tc>
        <w:tc>
          <w:tcPr>
            <w:tcW w:w="60" w:type="dxa"/>
            <w:vAlign w:val="bottom"/>
          </w:tcPr>
          <w:p>
            <w:pPr>
              <w:spacing w:after="0"/>
              <w:rPr>
                <w:sz w:val="17"/>
                <w:szCs w:val="17"/>
                <w:color w:val="auto"/>
              </w:rPr>
            </w:pPr>
          </w:p>
        </w:tc>
      </w:tr>
      <w:tr>
        <w:trPr>
          <w:trHeight w:val="358"/>
        </w:trPr>
        <w:tc>
          <w:tcPr>
            <w:tcW w:w="534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5,781,568</w:t>
            </w:r>
          </w:p>
        </w:tc>
        <w:tc>
          <w:tcPr>
            <w:tcW w:w="20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3,753,161</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-5080</wp:posOffset>
            </wp:positionV>
            <wp:extent cx="4318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-5080</wp:posOffset>
            </wp:positionV>
            <wp:extent cx="4318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Discontinued Development of STOPS</w:t>
      </w:r>
      <w:r>
        <w:rPr>
          <w:rFonts w:ascii="Arial" w:cs="Arial" w:eastAsia="Arial" w:hAnsi="Arial"/>
          <w:sz w:val="24"/>
          <w:szCs w:val="24"/>
          <w:i w:val="1"/>
          <w:iCs w:val="1"/>
          <w:color w:val="auto"/>
          <w:vertAlign w:val="superscript"/>
        </w:rPr>
        <w:t>TM</w:t>
      </w:r>
      <w:r>
        <w:rPr>
          <w:rFonts w:ascii="Arial" w:cs="Arial" w:eastAsia="Arial" w:hAnsi="Arial"/>
          <w:sz w:val="18"/>
          <w:szCs w:val="18"/>
          <w:i w:val="1"/>
          <w:iCs w:val="1"/>
          <w:color w:val="auto"/>
        </w:rPr>
        <w:t xml:space="preserve"> drug candidate</w:t>
      </w:r>
    </w:p>
    <w:p>
      <w:pPr>
        <w:spacing w:after="0" w:line="43" w:lineRule="exact"/>
        <w:rPr>
          <w:sz w:val="20"/>
          <w:szCs w:val="20"/>
          <w:color w:val="auto"/>
        </w:rPr>
      </w:pPr>
    </w:p>
    <w:p>
      <w:pPr>
        <w:ind w:right="60" w:firstLine="509"/>
        <w:spacing w:after="0" w:line="241" w:lineRule="auto"/>
        <w:rPr>
          <w:sz w:val="20"/>
          <w:szCs w:val="20"/>
          <w:color w:val="auto"/>
        </w:rPr>
      </w:pPr>
      <w:r>
        <w:rPr>
          <w:rFonts w:ascii="Arial" w:cs="Arial" w:eastAsia="Arial" w:hAnsi="Arial"/>
          <w:sz w:val="17"/>
          <w:szCs w:val="17"/>
          <w:color w:val="auto"/>
        </w:rPr>
        <w:t>On January 6, 2022, the Company announced that it had halted further development of its STOPS</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drug candidate, ALG-010133, in development to address chronic hepatitis B (CHB). This decision was based on emerging data from the Phase 1 Study ALG-010133-101, that indicated that at the projected efficacious dose (400 mg, estimated to achieve liver exposures &gt;3 x EC90 for HBsAg inhibition) there was no meaningful HBsAg reduction. Furthermore, higher dosage levels (maximum feasible dose is 600 mg) that were planned to be evaluated in a subsequent cohort are very unlikely to reach the 1 log10 IU/mL HBsAg reduction level that the Company had previously defined as necessary to advance the program. No dose limiting safety findings have been identified in CHB subjects dosed at any dose level. In early January, based on this information, the Company's management reviewed the data with members of the study’s Study Review Committee, and jointly concluded that the data was not sufficient to support further development of ALG-010133. The halt of ALG-010133 will result in a charge of approximately $1.9 million related to non-cancelable purchase obligations to be recognized in the first quarter of 2022.</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Merck Collaboration Agreement</w:t>
      </w:r>
    </w:p>
    <w:p>
      <w:pPr>
        <w:spacing w:after="0" w:line="104"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In January 2022, the Company and Merck &amp; Co. entered into a First Amendment to the Exclusive License and Research Collaboration Agreement. The agreement was expanded to include the in-license by Merck of an early-stage program with respect to a second undisclosed NASH target, on which the Company had previously been working independently on. In addition, under this expanded arrangement, Merck has the ability to add an additional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50" w:name="page151"/>
    <w:bookmarkEnd w:id="150"/>
    <w:p>
      <w:pPr>
        <w:spacing w:after="0" w:line="262" w:lineRule="auto"/>
        <w:rPr>
          <w:sz w:val="20"/>
          <w:szCs w:val="20"/>
          <w:color w:val="auto"/>
        </w:rPr>
      </w:pPr>
      <w:r>
        <w:rPr>
          <w:rFonts w:ascii="Arial" w:cs="Arial" w:eastAsia="Arial" w:hAnsi="Arial"/>
          <w:sz w:val="17"/>
          <w:szCs w:val="17"/>
          <w:color w:val="auto"/>
        </w:rPr>
        <w:t>third target of interest in the cardiometabolic/fibrosis space to the collaboration. Under the expanded agreement, the Company will receive a payment from Merck for the in-license of the program directed at a second undisclosed NASH target. Moreover, the Company will receive an additional payment if a third target is designated for the collaboration. With respect to each target in the collaboration, the Company will be eligible to receive up to approximately $460.0 million in development and commercialization milestones as well as tiered royalties on net sales.</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6" w:right="41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04" w:lineRule="exact"/>
        <w:rPr>
          <w:sz w:val="20"/>
          <w:szCs w:val="20"/>
          <w:color w:val="auto"/>
        </w:rPr>
      </w:pPr>
    </w:p>
    <w:p>
      <w:pPr>
        <w:ind w:right="100" w:firstLine="509"/>
        <w:spacing w:after="0" w:line="206" w:lineRule="exact"/>
        <w:rPr>
          <w:sz w:val="20"/>
          <w:szCs w:val="20"/>
          <w:color w:val="auto"/>
        </w:rPr>
      </w:pPr>
      <w:r>
        <w:rPr>
          <w:rFonts w:ascii="Arial" w:cs="Arial" w:eastAsia="Arial" w:hAnsi="Arial"/>
          <w:sz w:val="18"/>
          <w:szCs w:val="18"/>
          <w:color w:val="auto"/>
        </w:rPr>
        <w:t>Our management has evaluated, with the participation of our Chief Executive Officer and Chief Financial Officer, our principal executive officer and principal financial officer, respectively, the effectiveness of our disclosure controls and procedures (as defined in Rules 13a-15(e) and 15d-15(e) under the Securities Exchange Act of 1934, as amended) as of the end of the period covered by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December 31, 2021, our disclosure controls and procedures were effective at the reasonable assurance level.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04"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 13a-15(f). Our internal control over financial reporting is designed to provide reasonable assurance regarding the reliability of financial reporting and the preparation of consolidated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1" w:lineRule="exact"/>
        <w:rPr>
          <w:sz w:val="20"/>
          <w:szCs w:val="20"/>
          <w:color w:val="auto"/>
        </w:rPr>
      </w:pPr>
    </w:p>
    <w:p>
      <w:pPr>
        <w:jc w:val="both"/>
        <w:ind w:right="260" w:firstLine="509"/>
        <w:spacing w:after="0" w:line="270" w:lineRule="auto"/>
        <w:rPr>
          <w:sz w:val="20"/>
          <w:szCs w:val="20"/>
          <w:color w:val="auto"/>
        </w:rPr>
      </w:pPr>
      <w:r>
        <w:rPr>
          <w:rFonts w:ascii="Arial" w:cs="Arial" w:eastAsia="Arial" w:hAnsi="Arial"/>
          <w:sz w:val="17"/>
          <w:szCs w:val="17"/>
          <w:color w:val="auto"/>
        </w:rPr>
        <w:t>Management has assessed the effectiveness of our internal control over financial reporting based on the framework set forth by the Committee of Sponsoring Organizations of the Treadway Commission (COSO) in Internal Control-Integrated Framework (2013 framework). Based on our evaluation, management has concluded that our internal control over financial reporting was effective as of December 31, 2021.</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04" w:lineRule="exact"/>
        <w:rPr>
          <w:sz w:val="20"/>
          <w:szCs w:val="20"/>
          <w:color w:val="auto"/>
        </w:rPr>
      </w:pPr>
    </w:p>
    <w:p>
      <w:pPr>
        <w:jc w:val="both"/>
        <w:ind w:right="300" w:firstLine="509"/>
        <w:spacing w:after="0" w:line="248"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fiscal quarter ended December 31, 2021 that has materially affected, or is reasonably likely to materially affect, our internal control over financial reporting.</w:t>
      </w:r>
    </w:p>
    <w:p>
      <w:pPr>
        <w:spacing w:after="0" w:line="74"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As a result of the COVID-19 pandemic, in March 2020, substantially all of our employees began working remotely. We have not identified any material changes in our internal control over financial reporting as a result of these changes to the working environment, in part because our internal control over financial reporting was designed to operate in a remote working environment. We are continually monitoring and assessing the COVID-19 situation to determine any potential impacts on the design and operating effectiveness of our internal controls over financial reporting.</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 on the effectiveness over financial reporting</w:t>
      </w:r>
    </w:p>
    <w:p>
      <w:pPr>
        <w:spacing w:after="0" w:line="104" w:lineRule="exact"/>
        <w:rPr>
          <w:sz w:val="20"/>
          <w:szCs w:val="20"/>
          <w:color w:val="auto"/>
        </w:rPr>
      </w:pPr>
    </w:p>
    <w:p>
      <w:pPr>
        <w:ind w:right="140" w:firstLine="509"/>
        <w:spacing w:after="0" w:line="255" w:lineRule="auto"/>
        <w:rPr>
          <w:sz w:val="20"/>
          <w:szCs w:val="20"/>
          <w:color w:val="auto"/>
        </w:rPr>
      </w:pPr>
      <w:r>
        <w:rPr>
          <w:rFonts w:ascii="Arial" w:cs="Arial" w:eastAsia="Arial" w:hAnsi="Arial"/>
          <w:sz w:val="17"/>
          <w:szCs w:val="17"/>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52" w:name="page153"/>
    <w:bookmarkEnd w:id="152"/>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ectPr>
          <w:pgSz w:w="11900" w:h="16838" w:orient="portrait"/>
          <w:cols w:equalWidth="0" w:num="1">
            <w:col w:w="10139"/>
          </w:cols>
          <w:pgMar w:left="320" w:top="432" w:right="1440" w:bottom="1440" w:gutter="0" w:footer="0" w:header="0"/>
        </w:sectPr>
      </w:pP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32" w:right="1440" w:bottom="1440" w:gutter="0" w:footer="0" w:header="0"/>
          <w:type w:val="continuous"/>
        </w:sectPr>
      </w:pPr>
    </w:p>
    <w:bookmarkStart w:id="153" w:name="page154"/>
    <w:bookmarkEnd w:id="153"/>
    <w:p>
      <w:pPr>
        <w:jc w:val="center"/>
        <w:ind w:left="460"/>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We have adopted a code of ethics for directors, officers (including our principal executive officer, principal financial officer and principal accounting officer) and employees, known as the Code of Business Conduct and Ethics. This code is publicly available on our website at investor.aligos.com under the Governance section. If we make any amendments to this code other than technical, administrative or other non-substantive amendments, or grant any waivers, including implicit waivers, from a provision of this code we will disclose the nature of the amendment or waiver, its effective date and to whom it applies on our website at aligos.com or in a Current Report on Form 8-K filed with the SEC.</w:t>
      </w:r>
    </w:p>
    <w:p>
      <w:pPr>
        <w:spacing w:after="0" w:line="174"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The remaining information required by this item, including information about our Directors, Executive Officers and Audit Committee, is incorporated by reference to the definitive Proxy Statement for our 2022 Annual Meeting of Stockholders, which will be filed with the SEC no later than 120 days after December 31, 2021.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information required by this Item will be set forth in the section headed “Executive Compensation” in our Proxy Statement and is incorporated in this Annual Report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The information required by this Item will be set forth in the section headed “Security Ownership of Certain Beneficial Owners and Management” in our Proxy Statement and is incorporated in this Annual Report by reference.</w:t>
      </w:r>
    </w:p>
    <w:p>
      <w:pPr>
        <w:spacing w:after="0" w:line="171"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Information regarding our equity compensation plans will be set forth in the section headed “Executive Compensation” in our Proxy Statement and is incorporated in this Annual Report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The information required by this Item will be set forth in the section headed “Transactions with Related Persons” in our Proxy Statement and is incorporated in this Annual Report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08" w:lineRule="exact"/>
        <w:rPr>
          <w:sz w:val="20"/>
          <w:szCs w:val="20"/>
          <w:color w:val="auto"/>
        </w:rPr>
      </w:pPr>
    </w:p>
    <w:p>
      <w:pPr>
        <w:ind w:right="740" w:firstLine="509"/>
        <w:spacing w:after="0" w:line="261" w:lineRule="auto"/>
        <w:rPr>
          <w:sz w:val="20"/>
          <w:szCs w:val="20"/>
          <w:color w:val="auto"/>
        </w:rPr>
      </w:pPr>
      <w:r>
        <w:rPr>
          <w:rFonts w:ascii="Arial" w:cs="Arial" w:eastAsia="Arial" w:hAnsi="Arial"/>
          <w:sz w:val="18"/>
          <w:szCs w:val="18"/>
          <w:color w:val="auto"/>
        </w:rPr>
        <w:t>The information required by this Item will be set forth in the section headed “—Ratification of Selection of Independent Registered Public Accounting Firm” in our Proxy Statement and is incorporated in this Annual Report by reference.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4" w:name="page155"/>
    <w:bookmarkEnd w:id="154"/>
    <w:p>
      <w:pPr>
        <w:ind w:left="5500"/>
        <w:spacing w:after="0"/>
        <w:rPr>
          <w:sz w:val="20"/>
          <w:szCs w:val="20"/>
          <w:color w:val="auto"/>
        </w:rPr>
      </w:pPr>
      <w:r>
        <w:rPr>
          <w:rFonts w:ascii="Arial" w:cs="Arial" w:eastAsia="Arial" w:hAnsi="Arial"/>
          <w:sz w:val="18"/>
          <w:szCs w:val="18"/>
          <w:b w:val="1"/>
          <w:bCs w:val="1"/>
          <w:color w:val="auto"/>
        </w:rPr>
        <w:t>PART IV</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08" w:lineRule="exact"/>
        <w:rPr>
          <w:sz w:val="20"/>
          <w:szCs w:val="20"/>
          <w:color w:val="auto"/>
        </w:rPr>
      </w:pPr>
    </w:p>
    <w:p>
      <w:pPr>
        <w:ind w:left="1020" w:hanging="503"/>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Documents filed as a part of this Annual Report on Form 10-K:</w:t>
      </w:r>
    </w:p>
    <w:p>
      <w:pPr>
        <w:spacing w:after="0" w:line="316" w:lineRule="exact"/>
        <w:rPr>
          <w:sz w:val="20"/>
          <w:szCs w:val="20"/>
          <w:color w:val="auto"/>
        </w:rPr>
      </w:pPr>
    </w:p>
    <w:p>
      <w:pPr>
        <w:ind w:left="1020" w:hanging="503"/>
        <w:spacing w:after="0"/>
        <w:tabs>
          <w:tab w:leader="none" w:pos="10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financial statements are included in Part II, Item 8 of this Annual Report on Form 10-K:</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8880" w:type="dxa"/>
            <w:vAlign w:val="bottom"/>
            <w:gridSpan w:val="7"/>
          </w:tcPr>
          <w:p>
            <w:pPr>
              <w:spacing w:after="0"/>
              <w:rPr>
                <w:rFonts w:ascii="Arial" w:cs="Arial" w:eastAsia="Arial" w:hAnsi="Arial"/>
                <w:sz w:val="18"/>
                <w:szCs w:val="18"/>
                <w:color w:val="0563C1"/>
              </w:rPr>
            </w:pPr>
            <w:hyperlink w:anchor="page122">
              <w:r>
                <w:rPr>
                  <w:rFonts w:ascii="Arial" w:cs="Arial" w:eastAsia="Arial" w:hAnsi="Arial"/>
                  <w:sz w:val="18"/>
                  <w:szCs w:val="18"/>
                  <w:color w:val="0563C1"/>
                </w:rPr>
                <w:t>Report of Independent Registered Public Accounting Firm</w:t>
              </w:r>
            </w:hyperlink>
          </w:p>
        </w:tc>
        <w:tc>
          <w:tcPr>
            <w:tcW w:w="16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183"/>
        </w:trPr>
        <w:tc>
          <w:tcPr>
            <w:tcW w:w="4220" w:type="dxa"/>
            <w:vAlign w:val="bottom"/>
            <w:tcBorders>
              <w:top w:val="single" w:sz="8" w:color="0563C1"/>
            </w:tcBorders>
            <w:gridSpan w:val="4"/>
          </w:tcPr>
          <w:p>
            <w:pPr>
              <w:spacing w:after="0" w:line="182" w:lineRule="exact"/>
              <w:rPr>
                <w:rFonts w:ascii="Arial" w:cs="Arial" w:eastAsia="Arial" w:hAnsi="Arial"/>
                <w:sz w:val="18"/>
                <w:szCs w:val="18"/>
                <w:color w:val="0563C1"/>
              </w:rPr>
            </w:pPr>
            <w:hyperlink w:anchor="page123">
              <w:r>
                <w:rPr>
                  <w:rFonts w:ascii="Arial" w:cs="Arial" w:eastAsia="Arial" w:hAnsi="Arial"/>
                  <w:sz w:val="18"/>
                  <w:szCs w:val="18"/>
                  <w:color w:val="0563C1"/>
                </w:rPr>
                <w:t>Consolidated Balance Sheets</w:t>
              </w:r>
            </w:hyperlink>
          </w:p>
        </w:tc>
        <w:tc>
          <w:tcPr>
            <w:tcW w:w="4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40" w:type="dxa"/>
            <w:vAlign w:val="bottom"/>
          </w:tcPr>
          <w:p>
            <w:pPr>
              <w:jc w:val="right"/>
              <w:spacing w:after="0" w:line="182" w:lineRule="exact"/>
              <w:rPr>
                <w:sz w:val="20"/>
                <w:szCs w:val="20"/>
                <w:color w:val="auto"/>
              </w:rPr>
            </w:pPr>
            <w:r>
              <w:rPr>
                <w:rFonts w:ascii="Arial" w:cs="Arial" w:eastAsia="Arial" w:hAnsi="Arial"/>
                <w:sz w:val="18"/>
                <w:szCs w:val="18"/>
                <w:color w:val="auto"/>
              </w:rPr>
              <w:t>118</w:t>
            </w:r>
          </w:p>
        </w:tc>
      </w:tr>
      <w:tr>
        <w:trPr>
          <w:trHeight w:val="183"/>
        </w:trPr>
        <w:tc>
          <w:tcPr>
            <w:tcW w:w="2100" w:type="dxa"/>
            <w:vAlign w:val="bottom"/>
            <w:tcBorders>
              <w:top w:val="single" w:sz="8" w:color="0563C1"/>
              <w:bottom w:val="single" w:sz="8" w:color="0563C1"/>
            </w:tcBorders>
          </w:tcPr>
          <w:p>
            <w:pPr>
              <w:spacing w:after="0" w:line="182" w:lineRule="exact"/>
              <w:rPr>
                <w:rFonts w:ascii="Arial" w:cs="Arial" w:eastAsia="Arial" w:hAnsi="Arial"/>
                <w:sz w:val="18"/>
                <w:szCs w:val="18"/>
                <w:color w:val="0563C1"/>
                <w:w w:val="94"/>
              </w:rPr>
            </w:pPr>
            <w:hyperlink w:anchor="page124">
              <w:r>
                <w:rPr>
                  <w:rFonts w:ascii="Arial" w:cs="Arial" w:eastAsia="Arial" w:hAnsi="Arial"/>
                  <w:sz w:val="18"/>
                  <w:szCs w:val="18"/>
                  <w:color w:val="0563C1"/>
                  <w:w w:val="94"/>
                </w:rPr>
                <w:t>Consolidated Statements of</w:t>
              </w:r>
            </w:hyperlink>
          </w:p>
        </w:tc>
        <w:tc>
          <w:tcPr>
            <w:tcW w:w="2580" w:type="dxa"/>
            <w:vAlign w:val="bottom"/>
            <w:tcBorders>
              <w:bottom w:val="single" w:sz="8" w:color="0563C1"/>
            </w:tcBorders>
            <w:gridSpan w:val="4"/>
          </w:tcPr>
          <w:p>
            <w:pPr>
              <w:spacing w:after="0" w:line="182" w:lineRule="exact"/>
              <w:rPr>
                <w:rFonts w:ascii="Arial" w:cs="Arial" w:eastAsia="Arial" w:hAnsi="Arial"/>
                <w:sz w:val="18"/>
                <w:szCs w:val="18"/>
                <w:color w:val="0563C1"/>
                <w:w w:val="86"/>
              </w:rPr>
            </w:pPr>
            <w:hyperlink w:anchor="page124">
              <w:r>
                <w:rPr>
                  <w:rFonts w:ascii="Arial" w:cs="Arial" w:eastAsia="Arial" w:hAnsi="Arial"/>
                  <w:sz w:val="18"/>
                  <w:szCs w:val="18"/>
                  <w:color w:val="0563C1"/>
                  <w:w w:val="86"/>
                </w:rPr>
                <w:t>Operations and Comprehensive Loss</w:t>
              </w:r>
            </w:hyperlink>
          </w:p>
        </w:tc>
        <w:tc>
          <w:tcPr>
            <w:tcW w:w="4200" w:type="dxa"/>
            <w:vAlign w:val="bottom"/>
            <w:gridSpan w:val="2"/>
          </w:tcPr>
          <w:p>
            <w:pPr>
              <w:spacing w:after="0"/>
              <w:rPr>
                <w:sz w:val="15"/>
                <w:szCs w:val="15"/>
                <w:color w:val="auto"/>
              </w:rPr>
            </w:pPr>
          </w:p>
        </w:tc>
        <w:tc>
          <w:tcPr>
            <w:tcW w:w="1640" w:type="dxa"/>
            <w:vAlign w:val="bottom"/>
          </w:tcPr>
          <w:p>
            <w:pPr>
              <w:jc w:val="right"/>
              <w:spacing w:after="0" w:line="182" w:lineRule="exact"/>
              <w:rPr>
                <w:sz w:val="20"/>
                <w:szCs w:val="20"/>
                <w:color w:val="auto"/>
              </w:rPr>
            </w:pPr>
            <w:r>
              <w:rPr>
                <w:rFonts w:ascii="Arial" w:cs="Arial" w:eastAsia="Arial" w:hAnsi="Arial"/>
                <w:sz w:val="18"/>
                <w:szCs w:val="18"/>
                <w:color w:val="auto"/>
              </w:rPr>
              <w:t>119</w:t>
            </w:r>
          </w:p>
        </w:tc>
      </w:tr>
      <w:tr>
        <w:trPr>
          <w:trHeight w:val="183"/>
        </w:trPr>
        <w:tc>
          <w:tcPr>
            <w:tcW w:w="8880" w:type="dxa"/>
            <w:vAlign w:val="bottom"/>
            <w:gridSpan w:val="7"/>
          </w:tcPr>
          <w:p>
            <w:pPr>
              <w:spacing w:after="0" w:line="182" w:lineRule="exact"/>
              <w:rPr>
                <w:rFonts w:ascii="Arial" w:cs="Arial" w:eastAsia="Arial" w:hAnsi="Arial"/>
                <w:sz w:val="18"/>
                <w:szCs w:val="18"/>
                <w:color w:val="0563C1"/>
              </w:rPr>
            </w:pPr>
            <w:hyperlink w:anchor="page125">
              <w:r>
                <w:rPr>
                  <w:rFonts w:ascii="Arial" w:cs="Arial" w:eastAsia="Arial" w:hAnsi="Arial"/>
                  <w:sz w:val="18"/>
                  <w:szCs w:val="18"/>
                  <w:color w:val="0563C1"/>
                </w:rPr>
                <w:t>Consolidated Statements of Redeemable Convertible Preferred Stock and Stockholders’ Equity (Deficit)</w:t>
              </w:r>
            </w:hyperlink>
          </w:p>
        </w:tc>
        <w:tc>
          <w:tcPr>
            <w:tcW w:w="1640" w:type="dxa"/>
            <w:vAlign w:val="bottom"/>
          </w:tcPr>
          <w:p>
            <w:pPr>
              <w:jc w:val="right"/>
              <w:spacing w:after="0" w:line="182" w:lineRule="exact"/>
              <w:rPr>
                <w:sz w:val="20"/>
                <w:szCs w:val="20"/>
                <w:color w:val="auto"/>
              </w:rPr>
            </w:pPr>
            <w:r>
              <w:rPr>
                <w:rFonts w:ascii="Arial" w:cs="Arial" w:eastAsia="Arial" w:hAnsi="Arial"/>
                <w:sz w:val="18"/>
                <w:szCs w:val="18"/>
                <w:color w:val="auto"/>
              </w:rPr>
              <w:t>120</w:t>
            </w:r>
          </w:p>
        </w:tc>
      </w:tr>
      <w:tr>
        <w:trPr>
          <w:trHeight w:val="183"/>
        </w:trPr>
        <w:tc>
          <w:tcPr>
            <w:tcW w:w="2880" w:type="dxa"/>
            <w:vAlign w:val="bottom"/>
            <w:tcBorders>
              <w:top w:val="single" w:sz="8" w:color="0563C1"/>
              <w:bottom w:val="single" w:sz="8" w:color="0563C1"/>
            </w:tcBorders>
            <w:gridSpan w:val="2"/>
          </w:tcPr>
          <w:p>
            <w:pPr>
              <w:spacing w:after="0" w:line="182" w:lineRule="exact"/>
              <w:rPr>
                <w:rFonts w:ascii="Arial" w:cs="Arial" w:eastAsia="Arial" w:hAnsi="Arial"/>
                <w:sz w:val="18"/>
                <w:szCs w:val="18"/>
                <w:color w:val="0563C1"/>
                <w:w w:val="89"/>
              </w:rPr>
            </w:pPr>
            <w:hyperlink w:anchor="page126">
              <w:r>
                <w:rPr>
                  <w:rFonts w:ascii="Arial" w:cs="Arial" w:eastAsia="Arial" w:hAnsi="Arial"/>
                  <w:sz w:val="18"/>
                  <w:szCs w:val="18"/>
                  <w:color w:val="0563C1"/>
                  <w:w w:val="89"/>
                </w:rPr>
                <w:t>Consolidated Statements of Cash Flows</w:t>
              </w:r>
            </w:hyperlink>
          </w:p>
        </w:tc>
        <w:tc>
          <w:tcPr>
            <w:tcW w:w="4640" w:type="dxa"/>
            <w:vAlign w:val="bottom"/>
            <w:tcBorders>
              <w:top w:val="single" w:sz="8" w:color="0563C1"/>
            </w:tcBorders>
            <w:gridSpan w:val="4"/>
          </w:tcPr>
          <w:p>
            <w:pPr>
              <w:spacing w:after="0"/>
              <w:rPr>
                <w:sz w:val="15"/>
                <w:szCs w:val="15"/>
                <w:color w:val="auto"/>
              </w:rPr>
            </w:pPr>
          </w:p>
        </w:tc>
        <w:tc>
          <w:tcPr>
            <w:tcW w:w="1360" w:type="dxa"/>
            <w:vAlign w:val="bottom"/>
          </w:tcPr>
          <w:p>
            <w:pPr>
              <w:spacing w:after="0"/>
              <w:rPr>
                <w:sz w:val="15"/>
                <w:szCs w:val="15"/>
                <w:color w:val="auto"/>
              </w:rPr>
            </w:pPr>
          </w:p>
        </w:tc>
        <w:tc>
          <w:tcPr>
            <w:tcW w:w="1640" w:type="dxa"/>
            <w:vAlign w:val="bottom"/>
          </w:tcPr>
          <w:p>
            <w:pPr>
              <w:jc w:val="right"/>
              <w:spacing w:after="0" w:line="182" w:lineRule="exact"/>
              <w:rPr>
                <w:sz w:val="20"/>
                <w:szCs w:val="20"/>
                <w:color w:val="auto"/>
              </w:rPr>
            </w:pPr>
            <w:r>
              <w:rPr>
                <w:rFonts w:ascii="Arial" w:cs="Arial" w:eastAsia="Arial" w:hAnsi="Arial"/>
                <w:sz w:val="18"/>
                <w:szCs w:val="18"/>
                <w:color w:val="auto"/>
              </w:rPr>
              <w:t>121</w:t>
            </w:r>
          </w:p>
        </w:tc>
      </w:tr>
      <w:tr>
        <w:trPr>
          <w:trHeight w:val="183"/>
        </w:trPr>
        <w:tc>
          <w:tcPr>
            <w:tcW w:w="3160" w:type="dxa"/>
            <w:vAlign w:val="bottom"/>
            <w:tcBorders>
              <w:bottom w:val="single" w:sz="8" w:color="0563C1"/>
            </w:tcBorders>
            <w:gridSpan w:val="3"/>
          </w:tcPr>
          <w:p>
            <w:pPr>
              <w:spacing w:after="0" w:line="182" w:lineRule="exact"/>
              <w:rPr>
                <w:rFonts w:ascii="Arial" w:cs="Arial" w:eastAsia="Arial" w:hAnsi="Arial"/>
                <w:sz w:val="18"/>
                <w:szCs w:val="18"/>
                <w:color w:val="0563C1"/>
                <w:w w:val="89"/>
              </w:rPr>
            </w:pPr>
            <w:hyperlink w:anchor="page128">
              <w:r>
                <w:rPr>
                  <w:rFonts w:ascii="Arial" w:cs="Arial" w:eastAsia="Arial" w:hAnsi="Arial"/>
                  <w:sz w:val="18"/>
                  <w:szCs w:val="18"/>
                  <w:color w:val="0563C1"/>
                  <w:w w:val="89"/>
                </w:rPr>
                <w:t>Notes to Consolidated Financial Statements</w:t>
              </w:r>
            </w:hyperlink>
          </w:p>
        </w:tc>
        <w:tc>
          <w:tcPr>
            <w:tcW w:w="5720" w:type="dxa"/>
            <w:vAlign w:val="bottom"/>
            <w:gridSpan w:val="4"/>
          </w:tcPr>
          <w:p>
            <w:pPr>
              <w:spacing w:after="0"/>
              <w:rPr>
                <w:sz w:val="15"/>
                <w:szCs w:val="15"/>
                <w:color w:val="auto"/>
              </w:rPr>
            </w:pPr>
          </w:p>
        </w:tc>
        <w:tc>
          <w:tcPr>
            <w:tcW w:w="1640" w:type="dxa"/>
            <w:vAlign w:val="bottom"/>
          </w:tcPr>
          <w:p>
            <w:pPr>
              <w:jc w:val="right"/>
              <w:spacing w:after="0" w:line="182" w:lineRule="exact"/>
              <w:rPr>
                <w:sz w:val="20"/>
                <w:szCs w:val="20"/>
                <w:color w:val="auto"/>
              </w:rPr>
            </w:pPr>
            <w:r>
              <w:rPr>
                <w:rFonts w:ascii="Arial" w:cs="Arial" w:eastAsia="Arial" w:hAnsi="Arial"/>
                <w:sz w:val="18"/>
                <w:szCs w:val="18"/>
                <w:color w:val="auto"/>
              </w:rPr>
              <w:t>123</w:t>
            </w:r>
          </w:p>
        </w:tc>
      </w:tr>
    </w:tbl>
    <w:p>
      <w:pPr>
        <w:spacing w:after="0" w:line="121" w:lineRule="exact"/>
        <w:rPr>
          <w:sz w:val="20"/>
          <w:szCs w:val="20"/>
          <w:color w:val="auto"/>
        </w:rPr>
      </w:pPr>
    </w:p>
    <w:p>
      <w:pPr>
        <w:ind w:left="1020" w:hanging="503"/>
        <w:spacing w:after="0"/>
        <w:tabs>
          <w:tab w:leader="none" w:pos="1020" w:val="left"/>
        </w:tabs>
        <w:numPr>
          <w:ilvl w:val="0"/>
          <w:numId w:val="66"/>
        </w:numPr>
        <w:rPr>
          <w:rFonts w:ascii="Arial" w:cs="Arial" w:eastAsia="Arial" w:hAnsi="Arial"/>
          <w:sz w:val="16"/>
          <w:szCs w:val="16"/>
          <w:b w:val="1"/>
          <w:bCs w:val="1"/>
          <w:color w:val="auto"/>
        </w:rPr>
      </w:pPr>
      <w:r>
        <w:rPr>
          <w:rFonts w:ascii="Arial" w:cs="Arial" w:eastAsia="Arial" w:hAnsi="Arial"/>
          <w:sz w:val="16"/>
          <w:szCs w:val="16"/>
          <w:color w:val="auto"/>
        </w:rPr>
        <w:t>All other schedules have been omitted because they are not required, not applicable, or the required information is otherwise included.</w:t>
      </w:r>
    </w:p>
    <w:p>
      <w:pPr>
        <w:spacing w:after="0" w:line="126" w:lineRule="exact"/>
        <w:rPr>
          <w:rFonts w:ascii="Arial" w:cs="Arial" w:eastAsia="Arial" w:hAnsi="Arial"/>
          <w:sz w:val="16"/>
          <w:szCs w:val="16"/>
          <w:b w:val="1"/>
          <w:bCs w:val="1"/>
          <w:color w:val="auto"/>
        </w:rPr>
      </w:pPr>
    </w:p>
    <w:p>
      <w:pPr>
        <w:ind w:left="1020" w:hanging="503"/>
        <w:spacing w:after="0"/>
        <w:tabs>
          <w:tab w:leader="none" w:pos="102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The exhibits listed in the Exhibit Index below are filed or incorporated by reference as part of this Annual Report.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432" w:right="59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Incorporated by Reference</w:t>
            </w:r>
          </w:p>
        </w:tc>
        <w:tc>
          <w:tcPr>
            <w:tcW w:w="86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340"/>
              <w:spacing w:after="0" w:line="135" w:lineRule="exact"/>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0" w:type="dxa"/>
            <w:vAlign w:val="bottom"/>
            <w:gridSpan w:val="34"/>
            <w:vMerge w:val="restart"/>
          </w:tcPr>
          <w:p>
            <w:pPr>
              <w:ind w:left="100"/>
              <w:spacing w:after="0"/>
              <w:rPr>
                <w:sz w:val="20"/>
                <w:szCs w:val="20"/>
                <w:color w:val="auto"/>
              </w:rPr>
            </w:pPr>
            <w:r>
              <w:rPr>
                <w:rFonts w:ascii="Arial" w:cs="Arial" w:eastAsia="Arial" w:hAnsi="Arial"/>
                <w:sz w:val="14"/>
                <w:szCs w:val="14"/>
                <w:b w:val="1"/>
                <w:bCs w:val="1"/>
                <w:color w:val="auto"/>
              </w:rPr>
              <w:t>Exhibit Description</w:t>
            </w:r>
          </w:p>
        </w:tc>
        <w:tc>
          <w:tcPr>
            <w:tcW w:w="820" w:type="dxa"/>
            <w:vAlign w:val="bottom"/>
            <w:vMerge w:val="restart"/>
          </w:tcPr>
          <w:p>
            <w:pPr>
              <w:jc w:val="center"/>
              <w:ind w:left="71"/>
              <w:spacing w:after="0"/>
              <w:rPr>
                <w:sz w:val="20"/>
                <w:szCs w:val="20"/>
                <w:color w:val="auto"/>
              </w:rPr>
            </w:pPr>
            <w:r>
              <w:rPr>
                <w:rFonts w:ascii="Arial" w:cs="Arial" w:eastAsia="Arial" w:hAnsi="Arial"/>
                <w:sz w:val="14"/>
                <w:szCs w:val="14"/>
                <w:b w:val="1"/>
                <w:bCs w:val="1"/>
                <w:color w:val="auto"/>
                <w:w w:val="97"/>
              </w:rPr>
              <w:t>Form</w:t>
            </w:r>
          </w:p>
        </w:tc>
        <w:tc>
          <w:tcPr>
            <w:tcW w:w="1800" w:type="dxa"/>
            <w:vAlign w:val="bottom"/>
            <w:vMerge w:val="restart"/>
          </w:tcPr>
          <w:p>
            <w:pPr>
              <w:jc w:val="right"/>
              <w:ind w:right="711"/>
              <w:spacing w:after="0"/>
              <w:rPr>
                <w:sz w:val="20"/>
                <w:szCs w:val="20"/>
                <w:color w:val="auto"/>
              </w:rPr>
            </w:pPr>
            <w:r>
              <w:rPr>
                <w:rFonts w:ascii="Arial" w:cs="Arial" w:eastAsia="Arial" w:hAnsi="Arial"/>
                <w:sz w:val="14"/>
                <w:szCs w:val="14"/>
                <w:b w:val="1"/>
                <w:bCs w:val="1"/>
                <w:color w:val="auto"/>
              </w:rPr>
              <w:t>Date</w:t>
            </w:r>
          </w:p>
        </w:tc>
        <w:tc>
          <w:tcPr>
            <w:tcW w:w="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1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89"/>
        </w:trPr>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34"/>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Arial" w:cs="Arial" w:eastAsia="Arial" w:hAnsi="Arial"/>
                <w:sz w:val="18"/>
                <w:szCs w:val="18"/>
                <w:color w:val="auto"/>
              </w:rPr>
              <w:t>3.1</w:t>
            </w:r>
          </w:p>
        </w:tc>
        <w:tc>
          <w:tcPr>
            <w:tcW w:w="5400" w:type="dxa"/>
            <w:vAlign w:val="bottom"/>
            <w:gridSpan w:val="40"/>
          </w:tcPr>
          <w:p>
            <w:pPr>
              <w:spacing w:after="0" w:line="169" w:lineRule="exact"/>
              <w:rPr>
                <w:rFonts w:ascii="Arial" w:cs="Arial" w:eastAsia="Arial" w:hAnsi="Arial"/>
                <w:sz w:val="18"/>
                <w:szCs w:val="18"/>
                <w:color w:val="0563C1"/>
              </w:rPr>
            </w:pPr>
            <w:hyperlink r:id="rId299">
              <w:r>
                <w:rPr>
                  <w:rFonts w:ascii="Arial" w:cs="Arial" w:eastAsia="Arial" w:hAnsi="Arial"/>
                  <w:sz w:val="18"/>
                  <w:szCs w:val="18"/>
                  <w:color w:val="0563C1"/>
                </w:rPr>
                <w:t>Amended and Restated Certificate of Incorporation.</w:t>
              </w:r>
            </w:hyperlink>
          </w:p>
        </w:tc>
        <w:tc>
          <w:tcPr>
            <w:tcW w:w="820" w:type="dxa"/>
            <w:vAlign w:val="bottom"/>
          </w:tcPr>
          <w:p>
            <w:pPr>
              <w:jc w:val="center"/>
              <w:ind w:left="91"/>
              <w:spacing w:after="0" w:line="169" w:lineRule="exact"/>
              <w:rPr>
                <w:sz w:val="20"/>
                <w:szCs w:val="20"/>
                <w:color w:val="auto"/>
              </w:rPr>
            </w:pPr>
            <w:r>
              <w:rPr>
                <w:rFonts w:ascii="Arial" w:cs="Arial" w:eastAsia="Arial" w:hAnsi="Arial"/>
                <w:sz w:val="18"/>
                <w:szCs w:val="18"/>
                <w:color w:val="auto"/>
                <w:w w:val="99"/>
              </w:rPr>
              <w:t>8-K</w:t>
            </w:r>
          </w:p>
        </w:tc>
        <w:tc>
          <w:tcPr>
            <w:tcW w:w="1800" w:type="dxa"/>
            <w:vAlign w:val="bottom"/>
          </w:tcPr>
          <w:p>
            <w:pPr>
              <w:jc w:val="center"/>
              <w:ind w:right="11"/>
              <w:spacing w:after="0" w:line="169" w:lineRule="exact"/>
              <w:rPr>
                <w:sz w:val="20"/>
                <w:szCs w:val="20"/>
                <w:color w:val="auto"/>
              </w:rPr>
            </w:pPr>
            <w:r>
              <w:rPr>
                <w:rFonts w:ascii="Arial" w:cs="Arial" w:eastAsia="Arial" w:hAnsi="Arial"/>
                <w:sz w:val="18"/>
                <w:szCs w:val="18"/>
                <w:color w:val="auto"/>
                <w:w w:val="90"/>
              </w:rPr>
              <w:t>10/20/2020</w:t>
            </w:r>
          </w:p>
        </w:tc>
        <w:tc>
          <w:tcPr>
            <w:tcW w:w="860" w:type="dxa"/>
            <w:vAlign w:val="bottom"/>
          </w:tcPr>
          <w:p>
            <w:pPr>
              <w:jc w:val="center"/>
              <w:ind w:right="171"/>
              <w:spacing w:after="0" w:line="169" w:lineRule="exact"/>
              <w:rPr>
                <w:sz w:val="20"/>
                <w:szCs w:val="20"/>
                <w:color w:val="auto"/>
              </w:rPr>
            </w:pPr>
            <w:r>
              <w:rPr>
                <w:rFonts w:ascii="Arial" w:cs="Arial" w:eastAsia="Arial" w:hAnsi="Arial"/>
                <w:sz w:val="18"/>
                <w:szCs w:val="18"/>
                <w:color w:val="auto"/>
                <w:w w:val="95"/>
              </w:rPr>
              <w:t>3.1</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3.2</w:t>
            </w:r>
          </w:p>
        </w:tc>
        <w:tc>
          <w:tcPr>
            <w:tcW w:w="3740" w:type="dxa"/>
            <w:vAlign w:val="bottom"/>
            <w:tcBorders>
              <w:top w:val="single" w:sz="8" w:color="0563C1"/>
            </w:tcBorders>
            <w:gridSpan w:val="19"/>
          </w:tcPr>
          <w:p>
            <w:pPr>
              <w:spacing w:after="0" w:line="182" w:lineRule="exact"/>
              <w:rPr>
                <w:rFonts w:ascii="Arial" w:cs="Arial" w:eastAsia="Arial" w:hAnsi="Arial"/>
                <w:sz w:val="18"/>
                <w:szCs w:val="18"/>
                <w:color w:val="0563C1"/>
              </w:rPr>
            </w:pPr>
            <w:hyperlink r:id="rId300">
              <w:r>
                <w:rPr>
                  <w:rFonts w:ascii="Arial" w:cs="Arial" w:eastAsia="Arial" w:hAnsi="Arial"/>
                  <w:sz w:val="18"/>
                  <w:szCs w:val="18"/>
                  <w:color w:val="0563C1"/>
                </w:rPr>
                <w:t>Amended and Restated Bylaws.</w:t>
              </w:r>
            </w:hyperlink>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center"/>
              <w:ind w:left="91"/>
              <w:spacing w:after="0" w:line="182" w:lineRule="exact"/>
              <w:rPr>
                <w:sz w:val="20"/>
                <w:szCs w:val="20"/>
                <w:color w:val="auto"/>
              </w:rPr>
            </w:pPr>
            <w:r>
              <w:rPr>
                <w:rFonts w:ascii="Arial" w:cs="Arial" w:eastAsia="Arial" w:hAnsi="Arial"/>
                <w:sz w:val="18"/>
                <w:szCs w:val="18"/>
                <w:color w:val="auto"/>
                <w:w w:val="99"/>
              </w:rPr>
              <w:t>8-K</w:t>
            </w:r>
          </w:p>
        </w:tc>
        <w:tc>
          <w:tcPr>
            <w:tcW w:w="1800" w:type="dxa"/>
            <w:vAlign w:val="bottom"/>
          </w:tcPr>
          <w:p>
            <w:pPr>
              <w:jc w:val="center"/>
              <w:ind w:right="11"/>
              <w:spacing w:after="0" w:line="182" w:lineRule="exact"/>
              <w:rPr>
                <w:sz w:val="20"/>
                <w:szCs w:val="20"/>
                <w:color w:val="auto"/>
              </w:rPr>
            </w:pPr>
            <w:r>
              <w:rPr>
                <w:rFonts w:ascii="Arial" w:cs="Arial" w:eastAsia="Arial" w:hAnsi="Arial"/>
                <w:sz w:val="18"/>
                <w:szCs w:val="18"/>
                <w:color w:val="auto"/>
                <w:w w:val="90"/>
              </w:rPr>
              <w:t>10/20/2020</w:t>
            </w:r>
          </w:p>
        </w:tc>
        <w:tc>
          <w:tcPr>
            <w:tcW w:w="860" w:type="dxa"/>
            <w:vAlign w:val="bottom"/>
          </w:tcPr>
          <w:p>
            <w:pPr>
              <w:jc w:val="center"/>
              <w:ind w:right="171"/>
              <w:spacing w:after="0" w:line="182" w:lineRule="exact"/>
              <w:rPr>
                <w:sz w:val="20"/>
                <w:szCs w:val="20"/>
                <w:color w:val="auto"/>
              </w:rPr>
            </w:pPr>
            <w:r>
              <w:rPr>
                <w:rFonts w:ascii="Arial" w:cs="Arial" w:eastAsia="Arial" w:hAnsi="Arial"/>
                <w:sz w:val="18"/>
                <w:szCs w:val="18"/>
                <w:color w:val="auto"/>
                <w:w w:val="95"/>
              </w:rPr>
              <w:t>3.2</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4.1</w:t>
            </w: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30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5400" w:type="dxa"/>
            <w:vAlign w:val="bottom"/>
            <w:gridSpan w:val="40"/>
          </w:tcPr>
          <w:p>
            <w:pPr>
              <w:spacing w:after="0" w:line="182" w:lineRule="exact"/>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299">
              <w:r>
                <w:rPr>
                  <w:rFonts w:ascii="Arial" w:cs="Arial" w:eastAsia="Arial" w:hAnsi="Arial"/>
                  <w:sz w:val="18"/>
                  <w:szCs w:val="18"/>
                  <w:color w:val="0563C1"/>
                </w:rPr>
                <w:t>3.1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300">
              <w:r>
                <w:rPr>
                  <w:rFonts w:ascii="Arial" w:cs="Arial" w:eastAsia="Arial" w:hAnsi="Arial"/>
                  <w:sz w:val="18"/>
                  <w:szCs w:val="18"/>
                  <w:color w:val="0563C1"/>
                </w:rPr>
                <w:t>3.2</w:t>
              </w:r>
            </w:hyperlink>
            <w:r>
              <w:rPr>
                <w:rFonts w:ascii="Arial" w:cs="Arial" w:eastAsia="Arial" w:hAnsi="Arial"/>
                <w:sz w:val="18"/>
                <w:szCs w:val="18"/>
                <w:color w:val="auto"/>
              </w:rPr>
              <w:t>.</w:t>
            </w:r>
          </w:p>
        </w:tc>
        <w:tc>
          <w:tcPr>
            <w:tcW w:w="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4.2</w:t>
            </w: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0563C1"/>
            </w:tcBorders>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20" w:type="dxa"/>
            <w:vAlign w:val="bottom"/>
            <w:vMerge w:val="restart"/>
          </w:tcPr>
          <w:p>
            <w:pPr>
              <w:jc w:val="center"/>
              <w:ind w:left="71"/>
              <w:spacing w:after="0" w:line="202" w:lineRule="exact"/>
              <w:rPr>
                <w:sz w:val="20"/>
                <w:szCs w:val="20"/>
                <w:color w:val="auto"/>
              </w:rPr>
            </w:pPr>
            <w:r>
              <w:rPr>
                <w:rFonts w:ascii="Arial" w:cs="Arial" w:eastAsia="Arial" w:hAnsi="Arial"/>
                <w:sz w:val="18"/>
                <w:szCs w:val="18"/>
                <w:color w:val="auto"/>
                <w:w w:val="93"/>
              </w:rPr>
              <w:t>S-1/A</w:t>
            </w:r>
          </w:p>
        </w:tc>
        <w:tc>
          <w:tcPr>
            <w:tcW w:w="1800" w:type="dxa"/>
            <w:vAlign w:val="bottom"/>
            <w:vMerge w:val="restart"/>
          </w:tcPr>
          <w:p>
            <w:pPr>
              <w:jc w:val="center"/>
              <w:ind w:right="11"/>
              <w:spacing w:after="0" w:line="202" w:lineRule="exact"/>
              <w:rPr>
                <w:sz w:val="20"/>
                <w:szCs w:val="20"/>
                <w:color w:val="auto"/>
              </w:rPr>
            </w:pPr>
            <w:r>
              <w:rPr>
                <w:rFonts w:ascii="Arial" w:cs="Arial" w:eastAsia="Arial" w:hAnsi="Arial"/>
                <w:sz w:val="18"/>
                <w:szCs w:val="18"/>
                <w:color w:val="auto"/>
                <w:w w:val="92"/>
              </w:rPr>
              <w:t>10/9/2020</w:t>
            </w:r>
          </w:p>
        </w:tc>
        <w:tc>
          <w:tcPr>
            <w:tcW w:w="860" w:type="dxa"/>
            <w:vAlign w:val="bottom"/>
            <w:vMerge w:val="restart"/>
          </w:tcPr>
          <w:p>
            <w:pPr>
              <w:jc w:val="center"/>
              <w:ind w:right="171"/>
              <w:spacing w:after="0" w:line="202" w:lineRule="exact"/>
              <w:rPr>
                <w:sz w:val="20"/>
                <w:szCs w:val="20"/>
                <w:color w:val="auto"/>
              </w:rPr>
            </w:pPr>
            <w:r>
              <w:rPr>
                <w:rFonts w:ascii="Arial" w:cs="Arial" w:eastAsia="Arial" w:hAnsi="Arial"/>
                <w:sz w:val="18"/>
                <w:szCs w:val="18"/>
                <w:color w:val="auto"/>
                <w:w w:val="95"/>
              </w:rPr>
              <w:t>4.2</w:t>
            </w: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2440" w:type="dxa"/>
            <w:vAlign w:val="bottom"/>
            <w:tcBorders>
              <w:bottom w:val="single" w:sz="8" w:color="0563C1"/>
            </w:tcBorders>
            <w:gridSpan w:val="8"/>
          </w:tcPr>
          <w:p>
            <w:pPr>
              <w:spacing w:after="0" w:line="182" w:lineRule="exact"/>
              <w:rPr>
                <w:rFonts w:ascii="Arial" w:cs="Arial" w:eastAsia="Arial" w:hAnsi="Arial"/>
                <w:sz w:val="18"/>
                <w:szCs w:val="18"/>
                <w:color w:val="0563C1"/>
                <w:w w:val="86"/>
              </w:rPr>
            </w:pPr>
            <w:hyperlink r:id="rId301">
              <w:r>
                <w:rPr>
                  <w:rFonts w:ascii="Arial" w:cs="Arial" w:eastAsia="Arial" w:hAnsi="Arial"/>
                  <w:sz w:val="18"/>
                  <w:szCs w:val="18"/>
                  <w:color w:val="0563C1"/>
                  <w:w w:val="86"/>
                </w:rPr>
                <w:t>Form of Common Stock Certificate.</w:t>
              </w:r>
            </w:hyperlink>
          </w:p>
        </w:tc>
        <w:tc>
          <w:tcPr>
            <w:tcW w:w="160" w:type="dxa"/>
            <w:vAlign w:val="bottom"/>
            <w:tcBorders>
              <w:bottom w:val="single" w:sz="8" w:color="0563C1"/>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4.3</w:t>
            </w:r>
          </w:p>
        </w:tc>
        <w:tc>
          <w:tcPr>
            <w:tcW w:w="2600" w:type="dxa"/>
            <w:vAlign w:val="bottom"/>
            <w:gridSpan w:val="9"/>
          </w:tcPr>
          <w:p>
            <w:pPr>
              <w:spacing w:after="0" w:line="182" w:lineRule="exact"/>
              <w:rPr>
                <w:rFonts w:ascii="Arial" w:cs="Arial" w:eastAsia="Arial" w:hAnsi="Arial"/>
                <w:sz w:val="18"/>
                <w:szCs w:val="18"/>
                <w:color w:val="0563C1"/>
              </w:rPr>
            </w:pPr>
            <w:hyperlink r:id="rId302">
              <w:r>
                <w:rPr>
                  <w:rFonts w:ascii="Arial" w:cs="Arial" w:eastAsia="Arial" w:hAnsi="Arial"/>
                  <w:sz w:val="18"/>
                  <w:szCs w:val="18"/>
                  <w:color w:val="0563C1"/>
                </w:rPr>
                <w:t>Description of Securities.</w:t>
              </w:r>
            </w:hyperlink>
          </w:p>
        </w:tc>
        <w:tc>
          <w:tcPr>
            <w:tcW w:w="10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center"/>
              <w:ind w:left="71"/>
              <w:spacing w:after="0" w:line="182" w:lineRule="exact"/>
              <w:rPr>
                <w:sz w:val="20"/>
                <w:szCs w:val="20"/>
                <w:color w:val="auto"/>
              </w:rPr>
            </w:pPr>
            <w:r>
              <w:rPr>
                <w:rFonts w:ascii="Arial" w:cs="Arial" w:eastAsia="Arial" w:hAnsi="Arial"/>
                <w:sz w:val="18"/>
                <w:szCs w:val="18"/>
                <w:color w:val="auto"/>
                <w:w w:val="99"/>
              </w:rPr>
              <w:t>10-K</w:t>
            </w:r>
          </w:p>
        </w:tc>
        <w:tc>
          <w:tcPr>
            <w:tcW w:w="1800" w:type="dxa"/>
            <w:vAlign w:val="bottom"/>
          </w:tcPr>
          <w:p>
            <w:pPr>
              <w:jc w:val="center"/>
              <w:ind w:right="11"/>
              <w:spacing w:after="0" w:line="182" w:lineRule="exact"/>
              <w:rPr>
                <w:sz w:val="20"/>
                <w:szCs w:val="20"/>
                <w:color w:val="auto"/>
              </w:rPr>
            </w:pPr>
            <w:r>
              <w:rPr>
                <w:rFonts w:ascii="Arial" w:cs="Arial" w:eastAsia="Arial" w:hAnsi="Arial"/>
                <w:sz w:val="18"/>
                <w:szCs w:val="18"/>
                <w:color w:val="auto"/>
                <w:w w:val="92"/>
              </w:rPr>
              <w:t>3/23/2021</w:t>
            </w:r>
          </w:p>
        </w:tc>
        <w:tc>
          <w:tcPr>
            <w:tcW w:w="860" w:type="dxa"/>
            <w:vAlign w:val="bottom"/>
          </w:tcPr>
          <w:p>
            <w:pPr>
              <w:jc w:val="center"/>
              <w:ind w:right="171"/>
              <w:spacing w:after="0" w:line="182" w:lineRule="exact"/>
              <w:rPr>
                <w:sz w:val="20"/>
                <w:szCs w:val="20"/>
                <w:color w:val="auto"/>
              </w:rPr>
            </w:pPr>
            <w:r>
              <w:rPr>
                <w:rFonts w:ascii="Arial" w:cs="Arial" w:eastAsia="Arial" w:hAnsi="Arial"/>
                <w:sz w:val="18"/>
                <w:szCs w:val="18"/>
                <w:color w:val="auto"/>
                <w:w w:val="95"/>
              </w:rPr>
              <w:t>4.3</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10.1(a)†</w:t>
            </w:r>
          </w:p>
        </w:tc>
        <w:tc>
          <w:tcPr>
            <w:tcW w:w="1840" w:type="dxa"/>
            <w:vAlign w:val="bottom"/>
            <w:tcBorders>
              <w:top w:val="single" w:sz="8" w:color="0563C1"/>
              <w:bottom w:val="single" w:sz="8" w:color="0563C1"/>
            </w:tcBorders>
            <w:gridSpan w:val="5"/>
          </w:tcPr>
          <w:p>
            <w:pPr>
              <w:spacing w:after="0" w:line="182" w:lineRule="exact"/>
              <w:rPr>
                <w:rFonts w:ascii="Arial" w:cs="Arial" w:eastAsia="Arial" w:hAnsi="Arial"/>
                <w:sz w:val="18"/>
                <w:szCs w:val="18"/>
                <w:color w:val="0563C1"/>
                <w:w w:val="84"/>
              </w:rPr>
            </w:pPr>
            <w:hyperlink r:id="rId303">
              <w:r>
                <w:rPr>
                  <w:rFonts w:ascii="Arial" w:cs="Arial" w:eastAsia="Arial" w:hAnsi="Arial"/>
                  <w:sz w:val="18"/>
                  <w:szCs w:val="18"/>
                  <w:color w:val="0563C1"/>
                  <w:w w:val="84"/>
                </w:rPr>
                <w:t>Aligos Therapeutics/Emory</w:t>
              </w:r>
            </w:hyperlink>
          </w:p>
        </w:tc>
        <w:tc>
          <w:tcPr>
            <w:tcW w:w="160" w:type="dxa"/>
            <w:vAlign w:val="bottom"/>
            <w:tcBorders>
              <w:bottom w:val="single" w:sz="8" w:color="0563C1"/>
            </w:tcBorders>
          </w:tcPr>
          <w:p>
            <w:pPr>
              <w:spacing w:after="0"/>
              <w:rPr>
                <w:sz w:val="15"/>
                <w:szCs w:val="15"/>
                <w:color w:val="auto"/>
              </w:rPr>
            </w:pPr>
          </w:p>
        </w:tc>
        <w:tc>
          <w:tcPr>
            <w:tcW w:w="2820" w:type="dxa"/>
            <w:vAlign w:val="bottom"/>
            <w:tcBorders>
              <w:bottom w:val="single" w:sz="8" w:color="0563C1"/>
            </w:tcBorders>
            <w:gridSpan w:val="21"/>
          </w:tcPr>
          <w:p>
            <w:pPr>
              <w:ind w:left="40"/>
              <w:spacing w:after="0" w:line="182" w:lineRule="exact"/>
              <w:rPr>
                <w:rFonts w:ascii="Arial" w:cs="Arial" w:eastAsia="Arial" w:hAnsi="Arial"/>
                <w:sz w:val="18"/>
                <w:szCs w:val="18"/>
                <w:color w:val="0563C1"/>
                <w:w w:val="92"/>
              </w:rPr>
            </w:pPr>
            <w:hyperlink r:id="rId303">
              <w:r>
                <w:rPr>
                  <w:rFonts w:ascii="Arial" w:cs="Arial" w:eastAsia="Arial" w:hAnsi="Arial"/>
                  <w:sz w:val="18"/>
                  <w:szCs w:val="18"/>
                  <w:color w:val="0563C1"/>
                  <w:w w:val="92"/>
                </w:rPr>
                <w:t>University License Agreement by and</w:t>
              </w:r>
            </w:hyperlink>
          </w:p>
        </w:tc>
        <w:tc>
          <w:tcPr>
            <w:tcW w:w="580" w:type="dxa"/>
            <w:vAlign w:val="bottom"/>
            <w:gridSpan w:val="13"/>
          </w:tcPr>
          <w:p>
            <w:pPr>
              <w:spacing w:after="0"/>
              <w:rPr>
                <w:sz w:val="15"/>
                <w:szCs w:val="15"/>
                <w:color w:val="auto"/>
              </w:rPr>
            </w:pPr>
          </w:p>
        </w:tc>
        <w:tc>
          <w:tcPr>
            <w:tcW w:w="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5400" w:type="dxa"/>
            <w:vAlign w:val="bottom"/>
            <w:gridSpan w:val="40"/>
          </w:tcPr>
          <w:p>
            <w:pPr>
              <w:spacing w:after="0" w:line="156" w:lineRule="exact"/>
              <w:rPr>
                <w:rFonts w:ascii="Arial" w:cs="Arial" w:eastAsia="Arial" w:hAnsi="Arial"/>
                <w:sz w:val="18"/>
                <w:szCs w:val="18"/>
                <w:color w:val="0563C1"/>
                <w:w w:val="93"/>
              </w:rPr>
            </w:pPr>
            <w:hyperlink r:id="rId303">
              <w:r>
                <w:rPr>
                  <w:rFonts w:ascii="Arial" w:cs="Arial" w:eastAsia="Arial" w:hAnsi="Arial"/>
                  <w:sz w:val="18"/>
                  <w:szCs w:val="18"/>
                  <w:color w:val="0563C1"/>
                  <w:w w:val="93"/>
                </w:rPr>
                <w:t>between Aligos Therapeutics, Inc. and Emory University, dated June 26,</w:t>
              </w:r>
            </w:hyperlink>
          </w:p>
        </w:tc>
        <w:tc>
          <w:tcPr>
            <w:tcW w:w="820" w:type="dxa"/>
            <w:vAlign w:val="bottom"/>
            <w:vMerge w:val="restart"/>
          </w:tcPr>
          <w:p>
            <w:pPr>
              <w:jc w:val="center"/>
              <w:ind w:left="71"/>
              <w:spacing w:after="0"/>
              <w:rPr>
                <w:sz w:val="20"/>
                <w:szCs w:val="20"/>
                <w:color w:val="auto"/>
              </w:rPr>
            </w:pPr>
            <w:r>
              <w:rPr>
                <w:rFonts w:ascii="Arial" w:cs="Arial" w:eastAsia="Arial" w:hAnsi="Arial"/>
                <w:sz w:val="18"/>
                <w:szCs w:val="18"/>
                <w:color w:val="auto"/>
                <w:w w:val="92"/>
              </w:rPr>
              <w:t>S-1</w:t>
            </w:r>
          </w:p>
        </w:tc>
        <w:tc>
          <w:tcPr>
            <w:tcW w:w="1800" w:type="dxa"/>
            <w:vAlign w:val="bottom"/>
            <w:vMerge w:val="restart"/>
          </w:tcPr>
          <w:p>
            <w:pPr>
              <w:jc w:val="center"/>
              <w:ind w:right="11"/>
              <w:spacing w:after="0"/>
              <w:rPr>
                <w:sz w:val="20"/>
                <w:szCs w:val="20"/>
                <w:color w:val="auto"/>
              </w:rPr>
            </w:pPr>
            <w:r>
              <w:rPr>
                <w:rFonts w:ascii="Arial" w:cs="Arial" w:eastAsia="Arial" w:hAnsi="Arial"/>
                <w:sz w:val="18"/>
                <w:szCs w:val="18"/>
                <w:color w:val="auto"/>
                <w:w w:val="92"/>
              </w:rPr>
              <w:t>9/25/2020</w:t>
            </w:r>
          </w:p>
        </w:tc>
        <w:tc>
          <w:tcPr>
            <w:tcW w:w="860" w:type="dxa"/>
            <w:vAlign w:val="bottom"/>
            <w:vMerge w:val="restart"/>
          </w:tcPr>
          <w:p>
            <w:pPr>
              <w:jc w:val="center"/>
              <w:ind w:right="171"/>
              <w:spacing w:after="0"/>
              <w:rPr>
                <w:sz w:val="20"/>
                <w:szCs w:val="20"/>
                <w:color w:val="auto"/>
              </w:rPr>
            </w:pPr>
            <w:r>
              <w:rPr>
                <w:rFonts w:ascii="Arial" w:cs="Arial" w:eastAsia="Arial" w:hAnsi="Arial"/>
                <w:sz w:val="18"/>
                <w:szCs w:val="18"/>
                <w:color w:val="auto"/>
                <w:w w:val="91"/>
              </w:rPr>
              <w:t>10.1(a)</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10.1(b)†</w:t>
            </w:r>
          </w:p>
        </w:tc>
        <w:tc>
          <w:tcPr>
            <w:tcW w:w="400" w:type="dxa"/>
            <w:vAlign w:val="bottom"/>
            <w:tcBorders>
              <w:top w:val="single" w:sz="8" w:color="0563C1"/>
              <w:bottom w:val="single" w:sz="8" w:color="0563C1"/>
            </w:tcBorders>
          </w:tcPr>
          <w:p>
            <w:pPr>
              <w:spacing w:after="0" w:line="156" w:lineRule="exact"/>
              <w:rPr>
                <w:rFonts w:ascii="Arial" w:cs="Arial" w:eastAsia="Arial" w:hAnsi="Arial"/>
                <w:sz w:val="18"/>
                <w:szCs w:val="18"/>
                <w:color w:val="0563C1"/>
                <w:w w:val="84"/>
              </w:rPr>
            </w:pPr>
            <w:hyperlink r:id="rId303">
              <w:r>
                <w:rPr>
                  <w:rFonts w:ascii="Arial" w:cs="Arial" w:eastAsia="Arial" w:hAnsi="Arial"/>
                  <w:sz w:val="18"/>
                  <w:szCs w:val="18"/>
                  <w:color w:val="0563C1"/>
                  <w:w w:val="84"/>
                </w:rPr>
                <w:t>2018.</w:t>
              </w:r>
            </w:hyperlink>
          </w:p>
        </w:tc>
        <w:tc>
          <w:tcPr>
            <w:tcW w:w="20" w:type="dxa"/>
            <w:vAlign w:val="bottom"/>
            <w:tcBorders>
              <w:top w:val="single" w:sz="8" w:color="0563C1"/>
              <w:bottom w:val="single" w:sz="8" w:color="0000EE"/>
            </w:tcBorders>
          </w:tcPr>
          <w:p>
            <w:pPr>
              <w:spacing w:after="0"/>
              <w:rPr>
                <w:sz w:val="13"/>
                <w:szCs w:val="13"/>
                <w:color w:val="auto"/>
              </w:rPr>
            </w:pPr>
          </w:p>
        </w:tc>
        <w:tc>
          <w:tcPr>
            <w:tcW w:w="460" w:type="dxa"/>
            <w:vAlign w:val="bottom"/>
            <w:tcBorders>
              <w:top w:val="single" w:sz="8" w:color="0563C1"/>
            </w:tcBorders>
          </w:tcPr>
          <w:p>
            <w:pPr>
              <w:spacing w:after="0"/>
              <w:rPr>
                <w:sz w:val="13"/>
                <w:szCs w:val="13"/>
                <w:color w:val="auto"/>
              </w:rPr>
            </w:pPr>
          </w:p>
        </w:tc>
        <w:tc>
          <w:tcPr>
            <w:tcW w:w="720" w:type="dxa"/>
            <w:vAlign w:val="bottom"/>
            <w:tcBorders>
              <w:top w:val="single" w:sz="8" w:color="0563C1"/>
            </w:tcBorders>
          </w:tcPr>
          <w:p>
            <w:pPr>
              <w:spacing w:after="0"/>
              <w:rPr>
                <w:sz w:val="13"/>
                <w:szCs w:val="13"/>
                <w:color w:val="auto"/>
              </w:rPr>
            </w:pPr>
          </w:p>
        </w:tc>
        <w:tc>
          <w:tcPr>
            <w:tcW w:w="240" w:type="dxa"/>
            <w:vAlign w:val="bottom"/>
            <w:tcBorders>
              <w:top w:val="single" w:sz="8" w:color="0563C1"/>
            </w:tcBorders>
          </w:tcPr>
          <w:p>
            <w:pPr>
              <w:spacing w:after="0"/>
              <w:rPr>
                <w:sz w:val="13"/>
                <w:szCs w:val="13"/>
                <w:color w:val="auto"/>
              </w:rPr>
            </w:pPr>
          </w:p>
        </w:tc>
        <w:tc>
          <w:tcPr>
            <w:tcW w:w="160" w:type="dxa"/>
            <w:vAlign w:val="bottom"/>
            <w:tcBorders>
              <w:top w:val="single" w:sz="8" w:color="0563C1"/>
            </w:tcBorders>
          </w:tcPr>
          <w:p>
            <w:pPr>
              <w:spacing w:after="0"/>
              <w:rPr>
                <w:sz w:val="13"/>
                <w:szCs w:val="13"/>
                <w:color w:val="auto"/>
              </w:rPr>
            </w:pPr>
          </w:p>
        </w:tc>
        <w:tc>
          <w:tcPr>
            <w:tcW w:w="300" w:type="dxa"/>
            <w:vAlign w:val="bottom"/>
            <w:tcBorders>
              <w:top w:val="single" w:sz="8" w:color="0563C1"/>
            </w:tcBorders>
          </w:tcPr>
          <w:p>
            <w:pPr>
              <w:spacing w:after="0"/>
              <w:rPr>
                <w:sz w:val="13"/>
                <w:szCs w:val="13"/>
                <w:color w:val="auto"/>
              </w:rPr>
            </w:pPr>
          </w:p>
        </w:tc>
        <w:tc>
          <w:tcPr>
            <w:tcW w:w="140" w:type="dxa"/>
            <w:vAlign w:val="bottom"/>
            <w:tcBorders>
              <w:top w:val="single" w:sz="8" w:color="0563C1"/>
            </w:tcBorders>
          </w:tcPr>
          <w:p>
            <w:pPr>
              <w:spacing w:after="0"/>
              <w:rPr>
                <w:sz w:val="13"/>
                <w:szCs w:val="13"/>
                <w:color w:val="auto"/>
              </w:rPr>
            </w:pPr>
          </w:p>
        </w:tc>
        <w:tc>
          <w:tcPr>
            <w:tcW w:w="160" w:type="dxa"/>
            <w:vAlign w:val="bottom"/>
            <w:tcBorders>
              <w:top w:val="single" w:sz="8" w:color="0563C1"/>
            </w:tcBorders>
          </w:tcPr>
          <w:p>
            <w:pPr>
              <w:spacing w:after="0"/>
              <w:rPr>
                <w:sz w:val="13"/>
                <w:szCs w:val="13"/>
                <w:color w:val="auto"/>
              </w:rPr>
            </w:pPr>
          </w:p>
        </w:tc>
        <w:tc>
          <w:tcPr>
            <w:tcW w:w="100" w:type="dxa"/>
            <w:vAlign w:val="bottom"/>
            <w:tcBorders>
              <w:top w:val="single" w:sz="8" w:color="0563C1"/>
            </w:tcBorders>
          </w:tcPr>
          <w:p>
            <w:pPr>
              <w:spacing w:after="0"/>
              <w:rPr>
                <w:sz w:val="13"/>
                <w:szCs w:val="13"/>
                <w:color w:val="auto"/>
              </w:rPr>
            </w:pPr>
          </w:p>
        </w:tc>
        <w:tc>
          <w:tcPr>
            <w:tcW w:w="80" w:type="dxa"/>
            <w:vAlign w:val="bottom"/>
            <w:tcBorders>
              <w:top w:val="single" w:sz="8" w:color="0563C1"/>
            </w:tcBorders>
          </w:tcPr>
          <w:p>
            <w:pPr>
              <w:spacing w:after="0"/>
              <w:rPr>
                <w:sz w:val="13"/>
                <w:szCs w:val="13"/>
                <w:color w:val="auto"/>
              </w:rPr>
            </w:pPr>
          </w:p>
        </w:tc>
        <w:tc>
          <w:tcPr>
            <w:tcW w:w="180" w:type="dxa"/>
            <w:vAlign w:val="bottom"/>
            <w:tcBorders>
              <w:top w:val="single" w:sz="8" w:color="0563C1"/>
            </w:tcBorders>
          </w:tcPr>
          <w:p>
            <w:pPr>
              <w:spacing w:after="0"/>
              <w:rPr>
                <w:sz w:val="13"/>
                <w:szCs w:val="13"/>
                <w:color w:val="auto"/>
              </w:rPr>
            </w:pPr>
          </w:p>
        </w:tc>
        <w:tc>
          <w:tcPr>
            <w:tcW w:w="40" w:type="dxa"/>
            <w:vAlign w:val="bottom"/>
            <w:tcBorders>
              <w:top w:val="single" w:sz="8" w:color="0563C1"/>
            </w:tcBorders>
          </w:tcPr>
          <w:p>
            <w:pPr>
              <w:spacing w:after="0"/>
              <w:rPr>
                <w:sz w:val="13"/>
                <w:szCs w:val="13"/>
                <w:color w:val="auto"/>
              </w:rPr>
            </w:pPr>
          </w:p>
        </w:tc>
        <w:tc>
          <w:tcPr>
            <w:tcW w:w="20" w:type="dxa"/>
            <w:vAlign w:val="bottom"/>
            <w:tcBorders>
              <w:top w:val="single" w:sz="8" w:color="0563C1"/>
            </w:tcBorders>
          </w:tcPr>
          <w:p>
            <w:pPr>
              <w:spacing w:after="0"/>
              <w:rPr>
                <w:sz w:val="13"/>
                <w:szCs w:val="13"/>
                <w:color w:val="auto"/>
              </w:rPr>
            </w:pPr>
          </w:p>
        </w:tc>
        <w:tc>
          <w:tcPr>
            <w:tcW w:w="200" w:type="dxa"/>
            <w:vAlign w:val="bottom"/>
            <w:tcBorders>
              <w:top w:val="single" w:sz="8" w:color="0563C1"/>
            </w:tcBorders>
          </w:tcPr>
          <w:p>
            <w:pPr>
              <w:spacing w:after="0"/>
              <w:rPr>
                <w:sz w:val="13"/>
                <w:szCs w:val="13"/>
                <w:color w:val="auto"/>
              </w:rPr>
            </w:pPr>
          </w:p>
        </w:tc>
        <w:tc>
          <w:tcPr>
            <w:tcW w:w="20" w:type="dxa"/>
            <w:vAlign w:val="bottom"/>
            <w:tcBorders>
              <w:top w:val="single" w:sz="8" w:color="0563C1"/>
            </w:tcBorders>
          </w:tcPr>
          <w:p>
            <w:pPr>
              <w:spacing w:after="0"/>
              <w:rPr>
                <w:sz w:val="13"/>
                <w:szCs w:val="13"/>
                <w:color w:val="auto"/>
              </w:rPr>
            </w:pPr>
          </w:p>
        </w:tc>
        <w:tc>
          <w:tcPr>
            <w:tcW w:w="300" w:type="dxa"/>
            <w:vAlign w:val="bottom"/>
            <w:tcBorders>
              <w:top w:val="single" w:sz="8" w:color="0563C1"/>
            </w:tcBorders>
          </w:tcPr>
          <w:p>
            <w:pPr>
              <w:spacing w:after="0"/>
              <w:rPr>
                <w:sz w:val="13"/>
                <w:szCs w:val="13"/>
                <w:color w:val="auto"/>
              </w:rPr>
            </w:pPr>
          </w:p>
        </w:tc>
        <w:tc>
          <w:tcPr>
            <w:tcW w:w="60" w:type="dxa"/>
            <w:vAlign w:val="bottom"/>
            <w:tcBorders>
              <w:top w:val="single" w:sz="8" w:color="0563C1"/>
            </w:tcBorders>
          </w:tcPr>
          <w:p>
            <w:pPr>
              <w:spacing w:after="0"/>
              <w:rPr>
                <w:sz w:val="13"/>
                <w:szCs w:val="13"/>
                <w:color w:val="auto"/>
              </w:rPr>
            </w:pPr>
          </w:p>
        </w:tc>
        <w:tc>
          <w:tcPr>
            <w:tcW w:w="140" w:type="dxa"/>
            <w:vAlign w:val="bottom"/>
            <w:tcBorders>
              <w:top w:val="single" w:sz="8" w:color="0563C1"/>
            </w:tcBorders>
          </w:tcPr>
          <w:p>
            <w:pPr>
              <w:spacing w:after="0"/>
              <w:rPr>
                <w:sz w:val="13"/>
                <w:szCs w:val="13"/>
                <w:color w:val="auto"/>
              </w:rPr>
            </w:pPr>
          </w:p>
        </w:tc>
        <w:tc>
          <w:tcPr>
            <w:tcW w:w="160" w:type="dxa"/>
            <w:vAlign w:val="bottom"/>
            <w:tcBorders>
              <w:top w:val="single" w:sz="8" w:color="0563C1"/>
            </w:tcBorders>
          </w:tcPr>
          <w:p>
            <w:pPr>
              <w:spacing w:after="0"/>
              <w:rPr>
                <w:sz w:val="13"/>
                <w:szCs w:val="13"/>
                <w:color w:val="auto"/>
              </w:rPr>
            </w:pPr>
          </w:p>
        </w:tc>
        <w:tc>
          <w:tcPr>
            <w:tcW w:w="340" w:type="dxa"/>
            <w:vAlign w:val="bottom"/>
            <w:tcBorders>
              <w:top w:val="single" w:sz="8" w:color="0563C1"/>
            </w:tcBorders>
          </w:tcPr>
          <w:p>
            <w:pPr>
              <w:spacing w:after="0"/>
              <w:rPr>
                <w:sz w:val="13"/>
                <w:szCs w:val="13"/>
                <w:color w:val="auto"/>
              </w:rPr>
            </w:pPr>
          </w:p>
        </w:tc>
        <w:tc>
          <w:tcPr>
            <w:tcW w:w="20" w:type="dxa"/>
            <w:vAlign w:val="bottom"/>
            <w:tcBorders>
              <w:top w:val="single" w:sz="8" w:color="0563C1"/>
            </w:tcBorders>
          </w:tcPr>
          <w:p>
            <w:pPr>
              <w:spacing w:after="0"/>
              <w:rPr>
                <w:sz w:val="13"/>
                <w:szCs w:val="13"/>
                <w:color w:val="auto"/>
              </w:rPr>
            </w:pPr>
          </w:p>
        </w:tc>
        <w:tc>
          <w:tcPr>
            <w:tcW w:w="240" w:type="dxa"/>
            <w:vAlign w:val="bottom"/>
            <w:tcBorders>
              <w:top w:val="single" w:sz="8" w:color="0563C1"/>
            </w:tcBorders>
          </w:tcPr>
          <w:p>
            <w:pPr>
              <w:spacing w:after="0"/>
              <w:rPr>
                <w:sz w:val="13"/>
                <w:szCs w:val="13"/>
                <w:color w:val="auto"/>
              </w:rPr>
            </w:pPr>
          </w:p>
        </w:tc>
        <w:tc>
          <w:tcPr>
            <w:tcW w:w="20" w:type="dxa"/>
            <w:vAlign w:val="bottom"/>
            <w:tcBorders>
              <w:top w:val="single" w:sz="8" w:color="0563C1"/>
            </w:tcBorders>
          </w:tcPr>
          <w:p>
            <w:pPr>
              <w:spacing w:after="0"/>
              <w:rPr>
                <w:sz w:val="13"/>
                <w:szCs w:val="13"/>
                <w:color w:val="auto"/>
              </w:rPr>
            </w:pPr>
          </w:p>
        </w:tc>
        <w:tc>
          <w:tcPr>
            <w:tcW w:w="60" w:type="dxa"/>
            <w:vAlign w:val="bottom"/>
            <w:tcBorders>
              <w:top w:val="single" w:sz="8" w:color="0563C1"/>
            </w:tcBorders>
          </w:tcPr>
          <w:p>
            <w:pPr>
              <w:spacing w:after="0"/>
              <w:rPr>
                <w:sz w:val="13"/>
                <w:szCs w:val="13"/>
                <w:color w:val="auto"/>
              </w:rPr>
            </w:pPr>
          </w:p>
        </w:tc>
        <w:tc>
          <w:tcPr>
            <w:tcW w:w="60" w:type="dxa"/>
            <w:vAlign w:val="bottom"/>
            <w:tcBorders>
              <w:top w:val="single" w:sz="8" w:color="0563C1"/>
            </w:tcBorders>
          </w:tcPr>
          <w:p>
            <w:pPr>
              <w:spacing w:after="0"/>
              <w:rPr>
                <w:sz w:val="13"/>
                <w:szCs w:val="13"/>
                <w:color w:val="auto"/>
              </w:rPr>
            </w:pPr>
          </w:p>
        </w:tc>
        <w:tc>
          <w:tcPr>
            <w:tcW w:w="180" w:type="dxa"/>
            <w:vAlign w:val="bottom"/>
            <w:tcBorders>
              <w:top w:val="single" w:sz="8" w:color="0563C1"/>
            </w:tcBorders>
          </w:tcPr>
          <w:p>
            <w:pPr>
              <w:spacing w:after="0"/>
              <w:rPr>
                <w:sz w:val="13"/>
                <w:szCs w:val="13"/>
                <w:color w:val="auto"/>
              </w:rPr>
            </w:pPr>
          </w:p>
        </w:tc>
        <w:tc>
          <w:tcPr>
            <w:tcW w:w="20" w:type="dxa"/>
            <w:vAlign w:val="bottom"/>
            <w:tcBorders>
              <w:top w:val="single" w:sz="8" w:color="0563C1"/>
            </w:tcBorders>
          </w:tcPr>
          <w:p>
            <w:pPr>
              <w:spacing w:after="0"/>
              <w:rPr>
                <w:sz w:val="13"/>
                <w:szCs w:val="13"/>
                <w:color w:val="auto"/>
              </w:rPr>
            </w:pPr>
          </w:p>
        </w:tc>
        <w:tc>
          <w:tcPr>
            <w:tcW w:w="40" w:type="dxa"/>
            <w:vAlign w:val="bottom"/>
            <w:tcBorders>
              <w:top w:val="single" w:sz="8" w:color="0563C1"/>
            </w:tcBorders>
          </w:tcPr>
          <w:p>
            <w:pPr>
              <w:spacing w:after="0"/>
              <w:rPr>
                <w:sz w:val="13"/>
                <w:szCs w:val="13"/>
                <w:color w:val="auto"/>
              </w:rPr>
            </w:pPr>
          </w:p>
        </w:tc>
        <w:tc>
          <w:tcPr>
            <w:tcW w:w="140" w:type="dxa"/>
            <w:vAlign w:val="bottom"/>
            <w:tcBorders>
              <w:top w:val="single" w:sz="8" w:color="0563C1"/>
            </w:tcBorders>
          </w:tcPr>
          <w:p>
            <w:pPr>
              <w:spacing w:after="0"/>
              <w:rPr>
                <w:sz w:val="13"/>
                <w:szCs w:val="13"/>
                <w:color w:val="auto"/>
              </w:rPr>
            </w:pPr>
          </w:p>
        </w:tc>
        <w:tc>
          <w:tcPr>
            <w:tcW w:w="40" w:type="dxa"/>
            <w:vAlign w:val="bottom"/>
            <w:tcBorders>
              <w:top w:val="single" w:sz="8" w:color="0563C1"/>
            </w:tcBorders>
          </w:tcPr>
          <w:p>
            <w:pPr>
              <w:spacing w:after="0"/>
              <w:rPr>
                <w:sz w:val="13"/>
                <w:szCs w:val="13"/>
                <w:color w:val="auto"/>
              </w:rPr>
            </w:pPr>
          </w:p>
        </w:tc>
        <w:tc>
          <w:tcPr>
            <w:tcW w:w="20" w:type="dxa"/>
            <w:vAlign w:val="bottom"/>
            <w:tcBorders>
              <w:top w:val="single" w:sz="8" w:color="0563C1"/>
            </w:tcBorders>
          </w:tcPr>
          <w:p>
            <w:pPr>
              <w:spacing w:after="0"/>
              <w:rPr>
                <w:sz w:val="13"/>
                <w:szCs w:val="13"/>
                <w:color w:val="auto"/>
              </w:rPr>
            </w:pPr>
          </w:p>
        </w:tc>
        <w:tc>
          <w:tcPr>
            <w:tcW w:w="120" w:type="dxa"/>
            <w:vAlign w:val="bottom"/>
            <w:tcBorders>
              <w:top w:val="single" w:sz="8" w:color="0563C1"/>
            </w:tcBorders>
          </w:tcPr>
          <w:p>
            <w:pPr>
              <w:spacing w:after="0"/>
              <w:rPr>
                <w:sz w:val="13"/>
                <w:szCs w:val="13"/>
                <w:color w:val="auto"/>
              </w:rPr>
            </w:pPr>
          </w:p>
        </w:tc>
        <w:tc>
          <w:tcPr>
            <w:tcW w:w="20" w:type="dxa"/>
            <w:vAlign w:val="bottom"/>
            <w:tcBorders>
              <w:top w:val="single" w:sz="8" w:color="0563C1"/>
            </w:tcBorders>
          </w:tcPr>
          <w:p>
            <w:pPr>
              <w:spacing w:after="0"/>
              <w:rPr>
                <w:sz w:val="13"/>
                <w:szCs w:val="13"/>
                <w:color w:val="auto"/>
              </w:rPr>
            </w:pPr>
          </w:p>
        </w:tc>
        <w:tc>
          <w:tcPr>
            <w:tcW w:w="40" w:type="dxa"/>
            <w:vAlign w:val="bottom"/>
            <w:tcBorders>
              <w:top w:val="single" w:sz="8" w:color="0563C1"/>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420" w:type="dxa"/>
            <w:vAlign w:val="bottom"/>
            <w:gridSpan w:val="2"/>
          </w:tcPr>
          <w:p>
            <w:pPr>
              <w:spacing w:after="0" w:line="182" w:lineRule="exact"/>
              <w:rPr>
                <w:rFonts w:ascii="Arial" w:cs="Arial" w:eastAsia="Arial" w:hAnsi="Arial"/>
                <w:sz w:val="18"/>
                <w:szCs w:val="18"/>
                <w:color w:val="0563C1"/>
              </w:rPr>
            </w:pPr>
            <w:hyperlink r:id="rId304">
              <w:r>
                <w:rPr>
                  <w:rFonts w:ascii="Arial" w:cs="Arial" w:eastAsia="Arial" w:hAnsi="Arial"/>
                  <w:sz w:val="18"/>
                  <w:szCs w:val="18"/>
                  <w:color w:val="0563C1"/>
                </w:rPr>
                <w:t>First</w:t>
              </w:r>
            </w:hyperlink>
          </w:p>
        </w:tc>
        <w:tc>
          <w:tcPr>
            <w:tcW w:w="4980" w:type="dxa"/>
            <w:vAlign w:val="bottom"/>
            <w:gridSpan w:val="38"/>
          </w:tcPr>
          <w:p>
            <w:pPr>
              <w:spacing w:after="0" w:line="182" w:lineRule="exact"/>
              <w:rPr>
                <w:rFonts w:ascii="Arial" w:cs="Arial" w:eastAsia="Arial" w:hAnsi="Arial"/>
                <w:sz w:val="18"/>
                <w:szCs w:val="18"/>
                <w:color w:val="0563C1"/>
              </w:rPr>
            </w:pPr>
            <w:hyperlink r:id="rId304">
              <w:r>
                <w:rPr>
                  <w:rFonts w:ascii="Arial" w:cs="Arial" w:eastAsia="Arial" w:hAnsi="Arial"/>
                  <w:sz w:val="18"/>
                  <w:szCs w:val="18"/>
                  <w:color w:val="0563C1"/>
                </w:rPr>
                <w:t>Amendment to License Agreement by and between Aligos</w:t>
              </w:r>
            </w:hyperlink>
          </w:p>
        </w:tc>
        <w:tc>
          <w:tcPr>
            <w:tcW w:w="820" w:type="dxa"/>
            <w:vAlign w:val="bottom"/>
            <w:vMerge w:val="restart"/>
          </w:tcPr>
          <w:p>
            <w:pPr>
              <w:jc w:val="center"/>
              <w:ind w:left="71"/>
              <w:spacing w:after="0"/>
              <w:rPr>
                <w:sz w:val="20"/>
                <w:szCs w:val="20"/>
                <w:color w:val="auto"/>
              </w:rPr>
            </w:pPr>
            <w:r>
              <w:rPr>
                <w:rFonts w:ascii="Arial" w:cs="Arial" w:eastAsia="Arial" w:hAnsi="Arial"/>
                <w:sz w:val="18"/>
                <w:szCs w:val="18"/>
                <w:color w:val="auto"/>
                <w:w w:val="92"/>
              </w:rPr>
              <w:t>S-1</w:t>
            </w:r>
          </w:p>
        </w:tc>
        <w:tc>
          <w:tcPr>
            <w:tcW w:w="1800" w:type="dxa"/>
            <w:vAlign w:val="bottom"/>
            <w:vMerge w:val="restart"/>
          </w:tcPr>
          <w:p>
            <w:pPr>
              <w:jc w:val="center"/>
              <w:ind w:right="11"/>
              <w:spacing w:after="0"/>
              <w:rPr>
                <w:sz w:val="20"/>
                <w:szCs w:val="20"/>
                <w:color w:val="auto"/>
              </w:rPr>
            </w:pPr>
            <w:r>
              <w:rPr>
                <w:rFonts w:ascii="Arial" w:cs="Arial" w:eastAsia="Arial" w:hAnsi="Arial"/>
                <w:sz w:val="18"/>
                <w:szCs w:val="18"/>
                <w:color w:val="auto"/>
                <w:w w:val="92"/>
              </w:rPr>
              <w:t>9/25/2020</w:t>
            </w:r>
          </w:p>
        </w:tc>
        <w:tc>
          <w:tcPr>
            <w:tcW w:w="860" w:type="dxa"/>
            <w:vAlign w:val="bottom"/>
            <w:vMerge w:val="restart"/>
          </w:tcPr>
          <w:p>
            <w:pPr>
              <w:jc w:val="center"/>
              <w:ind w:right="171"/>
              <w:spacing w:after="0"/>
              <w:rPr>
                <w:sz w:val="20"/>
                <w:szCs w:val="20"/>
                <w:color w:val="auto"/>
              </w:rPr>
            </w:pPr>
            <w:r>
              <w:rPr>
                <w:rFonts w:ascii="Arial" w:cs="Arial" w:eastAsia="Arial" w:hAnsi="Arial"/>
                <w:sz w:val="18"/>
                <w:szCs w:val="18"/>
                <w:color w:val="auto"/>
                <w:w w:val="91"/>
              </w:rPr>
              <w:t>10.1(b)</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10.2(a)†</w:t>
            </w:r>
          </w:p>
        </w:tc>
        <w:tc>
          <w:tcPr>
            <w:tcW w:w="4640" w:type="dxa"/>
            <w:vAlign w:val="bottom"/>
            <w:tcBorders>
              <w:top w:val="single" w:sz="8" w:color="0563C1"/>
            </w:tcBorders>
            <w:gridSpan w:val="26"/>
          </w:tcPr>
          <w:p>
            <w:pPr>
              <w:spacing w:after="0" w:line="156" w:lineRule="exact"/>
              <w:rPr>
                <w:rFonts w:ascii="Arial" w:cs="Arial" w:eastAsia="Arial" w:hAnsi="Arial"/>
                <w:sz w:val="18"/>
                <w:szCs w:val="18"/>
                <w:color w:val="0563C1"/>
                <w:w w:val="92"/>
              </w:rPr>
            </w:pPr>
            <w:hyperlink r:id="rId304">
              <w:r>
                <w:rPr>
                  <w:rFonts w:ascii="Arial" w:cs="Arial" w:eastAsia="Arial" w:hAnsi="Arial"/>
                  <w:sz w:val="18"/>
                  <w:szCs w:val="18"/>
                  <w:color w:val="0563C1"/>
                  <w:w w:val="92"/>
                </w:rPr>
                <w:t>Therapeutics, Inc. and Emory University, dated June 18, 2020.</w:t>
              </w:r>
            </w:hyperlink>
          </w:p>
        </w:tc>
        <w:tc>
          <w:tcPr>
            <w:tcW w:w="2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4520" w:type="dxa"/>
            <w:vAlign w:val="bottom"/>
            <w:tcBorders>
              <w:top w:val="single" w:sz="8" w:color="0563C1"/>
            </w:tcBorders>
            <w:gridSpan w:val="24"/>
          </w:tcPr>
          <w:p>
            <w:pPr>
              <w:spacing w:after="0" w:line="182" w:lineRule="exact"/>
              <w:rPr>
                <w:rFonts w:ascii="Arial" w:cs="Arial" w:eastAsia="Arial" w:hAnsi="Arial"/>
                <w:sz w:val="18"/>
                <w:szCs w:val="18"/>
                <w:color w:val="0563C1"/>
                <w:w w:val="91"/>
              </w:rPr>
            </w:pPr>
            <w:hyperlink r:id="rId305">
              <w:r>
                <w:rPr>
                  <w:rFonts w:ascii="Arial" w:cs="Arial" w:eastAsia="Arial" w:hAnsi="Arial"/>
                  <w:sz w:val="18"/>
                  <w:szCs w:val="18"/>
                  <w:color w:val="0563C1"/>
                  <w:w w:val="91"/>
                </w:rPr>
                <w:t>License Agreement by and between Aligos Therapeutics, Inc.</w:t>
              </w:r>
            </w:hyperlink>
          </w:p>
        </w:tc>
        <w:tc>
          <w:tcPr>
            <w:tcW w:w="880" w:type="dxa"/>
            <w:vAlign w:val="bottom"/>
            <w:gridSpan w:val="16"/>
          </w:tcPr>
          <w:p>
            <w:pPr>
              <w:jc w:val="right"/>
              <w:ind w:right="140"/>
              <w:spacing w:after="0" w:line="182" w:lineRule="exact"/>
              <w:rPr>
                <w:rFonts w:ascii="Arial" w:cs="Arial" w:eastAsia="Arial" w:hAnsi="Arial"/>
                <w:sz w:val="18"/>
                <w:szCs w:val="18"/>
                <w:color w:val="0563C1"/>
                <w:w w:val="85"/>
              </w:rPr>
            </w:pPr>
            <w:hyperlink r:id="rId305">
              <w:r>
                <w:rPr>
                  <w:rFonts w:ascii="Arial" w:cs="Arial" w:eastAsia="Arial" w:hAnsi="Arial"/>
                  <w:sz w:val="18"/>
                  <w:szCs w:val="18"/>
                  <w:color w:val="0563C1"/>
                  <w:w w:val="85"/>
                </w:rPr>
                <w:t>and Luxna</w:t>
              </w:r>
            </w:hyperlink>
          </w:p>
        </w:tc>
        <w:tc>
          <w:tcPr>
            <w:tcW w:w="820" w:type="dxa"/>
            <w:vAlign w:val="bottom"/>
            <w:vMerge w:val="restart"/>
          </w:tcPr>
          <w:p>
            <w:pPr>
              <w:jc w:val="center"/>
              <w:ind w:left="71"/>
              <w:spacing w:after="0"/>
              <w:rPr>
                <w:sz w:val="20"/>
                <w:szCs w:val="20"/>
                <w:color w:val="auto"/>
              </w:rPr>
            </w:pPr>
            <w:r>
              <w:rPr>
                <w:rFonts w:ascii="Arial" w:cs="Arial" w:eastAsia="Arial" w:hAnsi="Arial"/>
                <w:sz w:val="18"/>
                <w:szCs w:val="18"/>
                <w:color w:val="auto"/>
                <w:w w:val="92"/>
              </w:rPr>
              <w:t>S-1</w:t>
            </w:r>
          </w:p>
        </w:tc>
        <w:tc>
          <w:tcPr>
            <w:tcW w:w="1800" w:type="dxa"/>
            <w:vAlign w:val="bottom"/>
            <w:vMerge w:val="restart"/>
          </w:tcPr>
          <w:p>
            <w:pPr>
              <w:jc w:val="center"/>
              <w:ind w:right="11"/>
              <w:spacing w:after="0"/>
              <w:rPr>
                <w:sz w:val="20"/>
                <w:szCs w:val="20"/>
                <w:color w:val="auto"/>
              </w:rPr>
            </w:pPr>
            <w:r>
              <w:rPr>
                <w:rFonts w:ascii="Arial" w:cs="Arial" w:eastAsia="Arial" w:hAnsi="Arial"/>
                <w:sz w:val="18"/>
                <w:szCs w:val="18"/>
                <w:color w:val="auto"/>
                <w:w w:val="92"/>
              </w:rPr>
              <w:t>9/25/2020</w:t>
            </w:r>
          </w:p>
        </w:tc>
        <w:tc>
          <w:tcPr>
            <w:tcW w:w="860" w:type="dxa"/>
            <w:vAlign w:val="bottom"/>
            <w:vMerge w:val="restart"/>
          </w:tcPr>
          <w:p>
            <w:pPr>
              <w:jc w:val="center"/>
              <w:ind w:right="171"/>
              <w:spacing w:after="0"/>
              <w:rPr>
                <w:sz w:val="20"/>
                <w:szCs w:val="20"/>
                <w:color w:val="auto"/>
              </w:rPr>
            </w:pPr>
            <w:r>
              <w:rPr>
                <w:rFonts w:ascii="Arial" w:cs="Arial" w:eastAsia="Arial" w:hAnsi="Arial"/>
                <w:sz w:val="18"/>
                <w:szCs w:val="18"/>
                <w:color w:val="auto"/>
                <w:w w:val="91"/>
              </w:rPr>
              <w:t>10.2(a)</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10.2(b)†</w:t>
            </w:r>
          </w:p>
        </w:tc>
        <w:tc>
          <w:tcPr>
            <w:tcW w:w="5320" w:type="dxa"/>
            <w:vAlign w:val="bottom"/>
            <w:tcBorders>
              <w:top w:val="single" w:sz="8" w:color="0563C1"/>
            </w:tcBorders>
            <w:gridSpan w:val="38"/>
          </w:tcPr>
          <w:p>
            <w:pPr>
              <w:spacing w:after="0" w:line="156" w:lineRule="exact"/>
              <w:rPr>
                <w:rFonts w:ascii="Arial" w:cs="Arial" w:eastAsia="Arial" w:hAnsi="Arial"/>
                <w:sz w:val="18"/>
                <w:szCs w:val="18"/>
                <w:color w:val="0563C1"/>
              </w:rPr>
            </w:pPr>
            <w:hyperlink r:id="rId305">
              <w:r>
                <w:rPr>
                  <w:rFonts w:ascii="Arial" w:cs="Arial" w:eastAsia="Arial" w:hAnsi="Arial"/>
                  <w:sz w:val="18"/>
                  <w:szCs w:val="18"/>
                  <w:color w:val="0563C1"/>
                </w:rPr>
                <w:t>Biotech Co., Ltd., dated December 19, 2018.</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3220" w:type="dxa"/>
            <w:vAlign w:val="bottom"/>
            <w:tcBorders>
              <w:top w:val="single" w:sz="8" w:color="0563C1"/>
            </w:tcBorders>
            <w:gridSpan w:val="15"/>
          </w:tcPr>
          <w:p>
            <w:pPr>
              <w:spacing w:after="0" w:line="182" w:lineRule="exact"/>
              <w:rPr>
                <w:rFonts w:ascii="Arial" w:cs="Arial" w:eastAsia="Arial" w:hAnsi="Arial"/>
                <w:sz w:val="18"/>
                <w:szCs w:val="18"/>
                <w:color w:val="0563C1"/>
                <w:w w:val="95"/>
              </w:rPr>
            </w:pPr>
            <w:hyperlink r:id="rId306">
              <w:r>
                <w:rPr>
                  <w:rFonts w:ascii="Arial" w:cs="Arial" w:eastAsia="Arial" w:hAnsi="Arial"/>
                  <w:sz w:val="18"/>
                  <w:szCs w:val="18"/>
                  <w:color w:val="0563C1"/>
                  <w:w w:val="95"/>
                </w:rPr>
                <w:t>Amendment to License Agreement by and</w:t>
              </w:r>
            </w:hyperlink>
          </w:p>
        </w:tc>
        <w:tc>
          <w:tcPr>
            <w:tcW w:w="20" w:type="dxa"/>
            <w:vAlign w:val="bottom"/>
            <w:tcBorders>
              <w:top w:val="single" w:sz="8" w:color="0000EE"/>
            </w:tcBorders>
          </w:tcPr>
          <w:p>
            <w:pPr>
              <w:spacing w:after="0"/>
              <w:rPr>
                <w:sz w:val="15"/>
                <w:szCs w:val="15"/>
                <w:color w:val="auto"/>
              </w:rPr>
            </w:pPr>
          </w:p>
        </w:tc>
        <w:tc>
          <w:tcPr>
            <w:tcW w:w="2160" w:type="dxa"/>
            <w:vAlign w:val="bottom"/>
            <w:gridSpan w:val="24"/>
          </w:tcPr>
          <w:p>
            <w:pPr>
              <w:jc w:val="right"/>
              <w:ind w:right="160"/>
              <w:spacing w:after="0" w:line="182" w:lineRule="exact"/>
              <w:rPr>
                <w:rFonts w:ascii="Arial" w:cs="Arial" w:eastAsia="Arial" w:hAnsi="Arial"/>
                <w:sz w:val="18"/>
                <w:szCs w:val="18"/>
                <w:color w:val="0563C1"/>
                <w:w w:val="83"/>
              </w:rPr>
            </w:pPr>
            <w:hyperlink r:id="rId306">
              <w:r>
                <w:rPr>
                  <w:rFonts w:ascii="Arial" w:cs="Arial" w:eastAsia="Arial" w:hAnsi="Arial"/>
                  <w:sz w:val="18"/>
                  <w:szCs w:val="18"/>
                  <w:color w:val="0563C1"/>
                  <w:w w:val="83"/>
                </w:rPr>
                <w:t>between Aligos Therapeutics,</w:t>
              </w:r>
            </w:hyperlink>
          </w:p>
        </w:tc>
        <w:tc>
          <w:tcPr>
            <w:tcW w:w="820" w:type="dxa"/>
            <w:vAlign w:val="bottom"/>
            <w:vMerge w:val="restart"/>
          </w:tcPr>
          <w:p>
            <w:pPr>
              <w:jc w:val="center"/>
              <w:ind w:left="71"/>
              <w:spacing w:after="0"/>
              <w:rPr>
                <w:sz w:val="20"/>
                <w:szCs w:val="20"/>
                <w:color w:val="auto"/>
              </w:rPr>
            </w:pPr>
            <w:r>
              <w:rPr>
                <w:rFonts w:ascii="Arial" w:cs="Arial" w:eastAsia="Arial" w:hAnsi="Arial"/>
                <w:sz w:val="18"/>
                <w:szCs w:val="18"/>
                <w:color w:val="auto"/>
                <w:w w:val="92"/>
              </w:rPr>
              <w:t>S-1</w:t>
            </w:r>
          </w:p>
        </w:tc>
        <w:tc>
          <w:tcPr>
            <w:tcW w:w="1800" w:type="dxa"/>
            <w:vAlign w:val="bottom"/>
            <w:vMerge w:val="restart"/>
          </w:tcPr>
          <w:p>
            <w:pPr>
              <w:jc w:val="center"/>
              <w:ind w:right="11"/>
              <w:spacing w:after="0"/>
              <w:rPr>
                <w:sz w:val="20"/>
                <w:szCs w:val="20"/>
                <w:color w:val="auto"/>
              </w:rPr>
            </w:pPr>
            <w:r>
              <w:rPr>
                <w:rFonts w:ascii="Arial" w:cs="Arial" w:eastAsia="Arial" w:hAnsi="Arial"/>
                <w:sz w:val="18"/>
                <w:szCs w:val="18"/>
                <w:color w:val="auto"/>
                <w:w w:val="92"/>
              </w:rPr>
              <w:t>9/25/2020</w:t>
            </w:r>
          </w:p>
        </w:tc>
        <w:tc>
          <w:tcPr>
            <w:tcW w:w="860" w:type="dxa"/>
            <w:vAlign w:val="bottom"/>
            <w:vMerge w:val="restart"/>
          </w:tcPr>
          <w:p>
            <w:pPr>
              <w:jc w:val="center"/>
              <w:ind w:right="171"/>
              <w:spacing w:after="0"/>
              <w:rPr>
                <w:sz w:val="20"/>
                <w:szCs w:val="20"/>
                <w:color w:val="auto"/>
              </w:rPr>
            </w:pPr>
            <w:r>
              <w:rPr>
                <w:rFonts w:ascii="Arial" w:cs="Arial" w:eastAsia="Arial" w:hAnsi="Arial"/>
                <w:sz w:val="18"/>
                <w:szCs w:val="18"/>
                <w:color w:val="auto"/>
                <w:w w:val="91"/>
              </w:rPr>
              <w:t>10.2(b)</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10.3</w:t>
            </w:r>
          </w:p>
        </w:tc>
        <w:tc>
          <w:tcPr>
            <w:tcW w:w="5300" w:type="dxa"/>
            <w:vAlign w:val="bottom"/>
            <w:tcBorders>
              <w:top w:val="single" w:sz="8" w:color="0563C1"/>
            </w:tcBorders>
            <w:gridSpan w:val="37"/>
          </w:tcPr>
          <w:p>
            <w:pPr>
              <w:spacing w:after="0" w:line="156" w:lineRule="exact"/>
              <w:rPr>
                <w:rFonts w:ascii="Arial" w:cs="Arial" w:eastAsia="Arial" w:hAnsi="Arial"/>
                <w:sz w:val="18"/>
                <w:szCs w:val="18"/>
                <w:color w:val="0563C1"/>
              </w:rPr>
            </w:pPr>
            <w:hyperlink r:id="rId306">
              <w:r>
                <w:rPr>
                  <w:rFonts w:ascii="Arial" w:cs="Arial" w:eastAsia="Arial" w:hAnsi="Arial"/>
                  <w:sz w:val="18"/>
                  <w:szCs w:val="18"/>
                  <w:color w:val="0563C1"/>
                </w:rPr>
                <w:t>Inc. and Luxna Biotech Co., Ltd., dated April 8, 2020.</w:t>
              </w:r>
            </w:hyperlink>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3900" w:type="dxa"/>
            <w:vAlign w:val="bottom"/>
            <w:tcBorders>
              <w:top w:val="single" w:sz="8" w:color="0563C1"/>
            </w:tcBorders>
            <w:gridSpan w:val="20"/>
          </w:tcPr>
          <w:p>
            <w:pPr>
              <w:spacing w:after="0" w:line="182" w:lineRule="exact"/>
              <w:rPr>
                <w:rFonts w:ascii="Arial" w:cs="Arial" w:eastAsia="Arial" w:hAnsi="Arial"/>
                <w:sz w:val="18"/>
                <w:szCs w:val="18"/>
                <w:color w:val="0563C1"/>
                <w:w w:val="89"/>
              </w:rPr>
            </w:pPr>
            <w:hyperlink r:id="rId307">
              <w:r>
                <w:rPr>
                  <w:rFonts w:ascii="Arial" w:cs="Arial" w:eastAsia="Arial" w:hAnsi="Arial"/>
                  <w:sz w:val="18"/>
                  <w:szCs w:val="18"/>
                  <w:color w:val="0563C1"/>
                  <w:w w:val="89"/>
                </w:rPr>
                <w:t>Lease between Aligos Therapeutics, Inc. and Britannia</w:t>
              </w:r>
            </w:hyperlink>
          </w:p>
        </w:tc>
        <w:tc>
          <w:tcPr>
            <w:tcW w:w="1500" w:type="dxa"/>
            <w:vAlign w:val="bottom"/>
            <w:gridSpan w:val="20"/>
          </w:tcPr>
          <w:p>
            <w:pPr>
              <w:jc w:val="right"/>
              <w:ind w:right="160"/>
              <w:spacing w:after="0" w:line="182" w:lineRule="exact"/>
              <w:rPr>
                <w:rFonts w:ascii="Arial" w:cs="Arial" w:eastAsia="Arial" w:hAnsi="Arial"/>
                <w:sz w:val="18"/>
                <w:szCs w:val="18"/>
                <w:color w:val="0563C1"/>
                <w:w w:val="96"/>
              </w:rPr>
            </w:pPr>
            <w:hyperlink r:id="rId307">
              <w:r>
                <w:rPr>
                  <w:rFonts w:ascii="Arial" w:cs="Arial" w:eastAsia="Arial" w:hAnsi="Arial"/>
                  <w:sz w:val="18"/>
                  <w:szCs w:val="18"/>
                  <w:color w:val="0563C1"/>
                  <w:w w:val="96"/>
                </w:rPr>
                <w:t>Biotech Gateway</w:t>
              </w:r>
            </w:hyperlink>
          </w:p>
        </w:tc>
        <w:tc>
          <w:tcPr>
            <w:tcW w:w="820" w:type="dxa"/>
            <w:vAlign w:val="bottom"/>
            <w:vMerge w:val="restart"/>
          </w:tcPr>
          <w:p>
            <w:pPr>
              <w:jc w:val="center"/>
              <w:ind w:left="71"/>
              <w:spacing w:after="0"/>
              <w:rPr>
                <w:sz w:val="20"/>
                <w:szCs w:val="20"/>
                <w:color w:val="auto"/>
              </w:rPr>
            </w:pPr>
            <w:r>
              <w:rPr>
                <w:rFonts w:ascii="Arial" w:cs="Arial" w:eastAsia="Arial" w:hAnsi="Arial"/>
                <w:sz w:val="18"/>
                <w:szCs w:val="18"/>
                <w:color w:val="auto"/>
                <w:w w:val="92"/>
              </w:rPr>
              <w:t>S-1</w:t>
            </w:r>
          </w:p>
        </w:tc>
        <w:tc>
          <w:tcPr>
            <w:tcW w:w="1800" w:type="dxa"/>
            <w:vAlign w:val="bottom"/>
            <w:vMerge w:val="restart"/>
          </w:tcPr>
          <w:p>
            <w:pPr>
              <w:jc w:val="center"/>
              <w:ind w:right="11"/>
              <w:spacing w:after="0"/>
              <w:rPr>
                <w:sz w:val="20"/>
                <w:szCs w:val="20"/>
                <w:color w:val="auto"/>
              </w:rPr>
            </w:pPr>
            <w:r>
              <w:rPr>
                <w:rFonts w:ascii="Arial" w:cs="Arial" w:eastAsia="Arial" w:hAnsi="Arial"/>
                <w:sz w:val="18"/>
                <w:szCs w:val="18"/>
                <w:color w:val="auto"/>
                <w:w w:val="92"/>
              </w:rPr>
              <w:t>9/25/2020</w:t>
            </w:r>
          </w:p>
        </w:tc>
        <w:tc>
          <w:tcPr>
            <w:tcW w:w="860" w:type="dxa"/>
            <w:vAlign w:val="bottom"/>
            <w:vMerge w:val="restart"/>
          </w:tcPr>
          <w:p>
            <w:pPr>
              <w:jc w:val="center"/>
              <w:ind w:right="171"/>
              <w:spacing w:after="0"/>
              <w:rPr>
                <w:sz w:val="20"/>
                <w:szCs w:val="20"/>
                <w:color w:val="auto"/>
              </w:rPr>
            </w:pPr>
            <w:r>
              <w:rPr>
                <w:rFonts w:ascii="Arial" w:cs="Arial" w:eastAsia="Arial" w:hAnsi="Arial"/>
                <w:sz w:val="18"/>
                <w:szCs w:val="18"/>
                <w:color w:val="auto"/>
                <w:w w:val="91"/>
              </w:rPr>
              <w:t>10.3</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5280" w:type="dxa"/>
            <w:vAlign w:val="bottom"/>
            <w:tcBorders>
              <w:top w:val="single" w:sz="8" w:color="0563C1"/>
            </w:tcBorders>
            <w:gridSpan w:val="36"/>
          </w:tcPr>
          <w:p>
            <w:pPr>
              <w:spacing w:after="0" w:line="156" w:lineRule="exact"/>
              <w:rPr>
                <w:rFonts w:ascii="Arial" w:cs="Arial" w:eastAsia="Arial" w:hAnsi="Arial"/>
                <w:sz w:val="18"/>
                <w:szCs w:val="18"/>
                <w:color w:val="0563C1"/>
              </w:rPr>
            </w:pPr>
            <w:hyperlink r:id="rId307">
              <w:r>
                <w:rPr>
                  <w:rFonts w:ascii="Arial" w:cs="Arial" w:eastAsia="Arial" w:hAnsi="Arial"/>
                  <w:sz w:val="18"/>
                  <w:szCs w:val="18"/>
                  <w:color w:val="0563C1"/>
                </w:rPr>
                <w:t>Limited Partnership, dated June 21, 2018.</w:t>
              </w:r>
            </w:hyperlink>
          </w:p>
        </w:tc>
        <w:tc>
          <w:tcPr>
            <w:tcW w:w="6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3020" w:type="dxa"/>
            <w:vAlign w:val="bottom"/>
            <w:tcBorders>
              <w:top w:val="single" w:sz="8" w:color="0563C1"/>
            </w:tcBorders>
            <w:gridSpan w:val="14"/>
          </w:tcPr>
          <w:p>
            <w:pPr>
              <w:spacing w:after="0" w:line="182" w:lineRule="exact"/>
              <w:rPr>
                <w:rFonts w:ascii="Arial" w:cs="Arial" w:eastAsia="Arial" w:hAnsi="Arial"/>
                <w:sz w:val="18"/>
                <w:szCs w:val="18"/>
                <w:color w:val="0563C1"/>
                <w:w w:val="91"/>
              </w:rPr>
            </w:pPr>
            <w:hyperlink r:id="rId308">
              <w:r>
                <w:rPr>
                  <w:rFonts w:ascii="Arial" w:cs="Arial" w:eastAsia="Arial" w:hAnsi="Arial"/>
                  <w:sz w:val="18"/>
                  <w:szCs w:val="18"/>
                  <w:color w:val="0563C1"/>
                  <w:w w:val="91"/>
                </w:rPr>
                <w:t>Amended and Restated Investors’ Rights</w:t>
              </w:r>
            </w:hyperlink>
          </w:p>
        </w:tc>
        <w:tc>
          <w:tcPr>
            <w:tcW w:w="2380" w:type="dxa"/>
            <w:vAlign w:val="bottom"/>
            <w:gridSpan w:val="26"/>
          </w:tcPr>
          <w:p>
            <w:pPr>
              <w:jc w:val="center"/>
              <w:ind w:right="360"/>
              <w:spacing w:after="0" w:line="182" w:lineRule="exact"/>
              <w:rPr>
                <w:rFonts w:ascii="Arial" w:cs="Arial" w:eastAsia="Arial" w:hAnsi="Arial"/>
                <w:sz w:val="18"/>
                <w:szCs w:val="18"/>
                <w:color w:val="0563C1"/>
                <w:w w:val="88"/>
              </w:rPr>
            </w:pPr>
            <w:hyperlink r:id="rId308">
              <w:r>
                <w:rPr>
                  <w:rFonts w:ascii="Arial" w:cs="Arial" w:eastAsia="Arial" w:hAnsi="Arial"/>
                  <w:sz w:val="18"/>
                  <w:szCs w:val="18"/>
                  <w:color w:val="0563C1"/>
                  <w:w w:val="88"/>
                </w:rPr>
                <w:t>Agreement dated October 9,</w:t>
              </w:r>
            </w:hyperlink>
          </w:p>
        </w:tc>
        <w:tc>
          <w:tcPr>
            <w:tcW w:w="820" w:type="dxa"/>
            <w:vAlign w:val="bottom"/>
            <w:vMerge w:val="restart"/>
          </w:tcPr>
          <w:p>
            <w:pPr>
              <w:jc w:val="center"/>
              <w:ind w:left="71"/>
              <w:spacing w:after="0"/>
              <w:rPr>
                <w:sz w:val="20"/>
                <w:szCs w:val="20"/>
                <w:color w:val="auto"/>
              </w:rPr>
            </w:pPr>
            <w:r>
              <w:rPr>
                <w:rFonts w:ascii="Arial" w:cs="Arial" w:eastAsia="Arial" w:hAnsi="Arial"/>
                <w:sz w:val="18"/>
                <w:szCs w:val="18"/>
                <w:color w:val="auto"/>
                <w:w w:val="93"/>
              </w:rPr>
              <w:t>S-1/A</w:t>
            </w:r>
          </w:p>
        </w:tc>
        <w:tc>
          <w:tcPr>
            <w:tcW w:w="1800" w:type="dxa"/>
            <w:vAlign w:val="bottom"/>
            <w:vMerge w:val="restart"/>
          </w:tcPr>
          <w:p>
            <w:pPr>
              <w:jc w:val="center"/>
              <w:ind w:right="11"/>
              <w:spacing w:after="0"/>
              <w:rPr>
                <w:sz w:val="20"/>
                <w:szCs w:val="20"/>
                <w:color w:val="auto"/>
              </w:rPr>
            </w:pPr>
            <w:r>
              <w:rPr>
                <w:rFonts w:ascii="Arial" w:cs="Arial" w:eastAsia="Arial" w:hAnsi="Arial"/>
                <w:sz w:val="18"/>
                <w:szCs w:val="18"/>
                <w:color w:val="auto"/>
                <w:w w:val="92"/>
              </w:rPr>
              <w:t>10/9/2020</w:t>
            </w:r>
          </w:p>
        </w:tc>
        <w:tc>
          <w:tcPr>
            <w:tcW w:w="860" w:type="dxa"/>
            <w:vAlign w:val="bottom"/>
            <w:vMerge w:val="restart"/>
          </w:tcPr>
          <w:p>
            <w:pPr>
              <w:jc w:val="center"/>
              <w:ind w:right="171"/>
              <w:spacing w:after="0"/>
              <w:rPr>
                <w:sz w:val="20"/>
                <w:szCs w:val="20"/>
                <w:color w:val="auto"/>
              </w:rPr>
            </w:pPr>
            <w:r>
              <w:rPr>
                <w:rFonts w:ascii="Arial" w:cs="Arial" w:eastAsia="Arial" w:hAnsi="Arial"/>
                <w:sz w:val="18"/>
                <w:szCs w:val="18"/>
                <w:color w:val="auto"/>
                <w:w w:val="91"/>
              </w:rPr>
              <w:t>10.4</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420" w:type="dxa"/>
            <w:vAlign w:val="bottom"/>
            <w:tcBorders>
              <w:top w:val="single" w:sz="8" w:color="0563C1"/>
            </w:tcBorders>
            <w:gridSpan w:val="2"/>
          </w:tcPr>
          <w:p>
            <w:pPr>
              <w:spacing w:after="0" w:line="156" w:lineRule="exact"/>
              <w:rPr>
                <w:rFonts w:ascii="Arial" w:cs="Arial" w:eastAsia="Arial" w:hAnsi="Arial"/>
                <w:sz w:val="18"/>
                <w:szCs w:val="18"/>
                <w:color w:val="0563C1"/>
                <w:w w:val="88"/>
              </w:rPr>
            </w:pPr>
            <w:hyperlink r:id="rId308">
              <w:r>
                <w:rPr>
                  <w:rFonts w:ascii="Arial" w:cs="Arial" w:eastAsia="Arial" w:hAnsi="Arial"/>
                  <w:sz w:val="18"/>
                  <w:szCs w:val="18"/>
                  <w:color w:val="0563C1"/>
                  <w:w w:val="88"/>
                </w:rPr>
                <w:t>2020.</w:t>
              </w:r>
            </w:hyperlink>
          </w:p>
        </w:tc>
        <w:tc>
          <w:tcPr>
            <w:tcW w:w="460" w:type="dxa"/>
            <w:vAlign w:val="bottom"/>
            <w:tcBorders>
              <w:top w:val="single" w:sz="8" w:color="0563C1"/>
            </w:tcBorders>
          </w:tcPr>
          <w:p>
            <w:pPr>
              <w:spacing w:after="0"/>
              <w:rPr>
                <w:sz w:val="13"/>
                <w:szCs w:val="13"/>
                <w:color w:val="auto"/>
              </w:rPr>
            </w:pPr>
          </w:p>
        </w:tc>
        <w:tc>
          <w:tcPr>
            <w:tcW w:w="720" w:type="dxa"/>
            <w:vAlign w:val="bottom"/>
            <w:tcBorders>
              <w:top w:val="single" w:sz="8" w:color="0563C1"/>
            </w:tcBorders>
          </w:tcPr>
          <w:p>
            <w:pPr>
              <w:spacing w:after="0"/>
              <w:rPr>
                <w:sz w:val="13"/>
                <w:szCs w:val="13"/>
                <w:color w:val="auto"/>
              </w:rPr>
            </w:pPr>
          </w:p>
        </w:tc>
        <w:tc>
          <w:tcPr>
            <w:tcW w:w="240" w:type="dxa"/>
            <w:vAlign w:val="bottom"/>
            <w:tcBorders>
              <w:top w:val="single" w:sz="8" w:color="0563C1"/>
            </w:tcBorders>
          </w:tcPr>
          <w:p>
            <w:pPr>
              <w:spacing w:after="0"/>
              <w:rPr>
                <w:sz w:val="13"/>
                <w:szCs w:val="13"/>
                <w:color w:val="auto"/>
              </w:rPr>
            </w:pPr>
          </w:p>
        </w:tc>
        <w:tc>
          <w:tcPr>
            <w:tcW w:w="160" w:type="dxa"/>
            <w:vAlign w:val="bottom"/>
            <w:tcBorders>
              <w:top w:val="single" w:sz="8" w:color="0563C1"/>
            </w:tcBorders>
          </w:tcPr>
          <w:p>
            <w:pPr>
              <w:spacing w:after="0"/>
              <w:rPr>
                <w:sz w:val="13"/>
                <w:szCs w:val="13"/>
                <w:color w:val="auto"/>
              </w:rPr>
            </w:pPr>
          </w:p>
        </w:tc>
        <w:tc>
          <w:tcPr>
            <w:tcW w:w="300" w:type="dxa"/>
            <w:vAlign w:val="bottom"/>
            <w:tcBorders>
              <w:top w:val="single" w:sz="8" w:color="0563C1"/>
            </w:tcBorders>
          </w:tcPr>
          <w:p>
            <w:pPr>
              <w:spacing w:after="0"/>
              <w:rPr>
                <w:sz w:val="13"/>
                <w:szCs w:val="13"/>
                <w:color w:val="auto"/>
              </w:rPr>
            </w:pPr>
          </w:p>
        </w:tc>
        <w:tc>
          <w:tcPr>
            <w:tcW w:w="140" w:type="dxa"/>
            <w:vAlign w:val="bottom"/>
            <w:tcBorders>
              <w:top w:val="single" w:sz="8" w:color="0563C1"/>
            </w:tcBorders>
          </w:tcPr>
          <w:p>
            <w:pPr>
              <w:spacing w:after="0"/>
              <w:rPr>
                <w:sz w:val="13"/>
                <w:szCs w:val="13"/>
                <w:color w:val="auto"/>
              </w:rPr>
            </w:pPr>
          </w:p>
        </w:tc>
        <w:tc>
          <w:tcPr>
            <w:tcW w:w="160" w:type="dxa"/>
            <w:vAlign w:val="bottom"/>
            <w:tcBorders>
              <w:top w:val="single" w:sz="8" w:color="0563C1"/>
            </w:tcBorders>
          </w:tcPr>
          <w:p>
            <w:pPr>
              <w:spacing w:after="0"/>
              <w:rPr>
                <w:sz w:val="13"/>
                <w:szCs w:val="13"/>
                <w:color w:val="auto"/>
              </w:rPr>
            </w:pPr>
          </w:p>
        </w:tc>
        <w:tc>
          <w:tcPr>
            <w:tcW w:w="100" w:type="dxa"/>
            <w:vAlign w:val="bottom"/>
            <w:tcBorders>
              <w:top w:val="single" w:sz="8" w:color="0563C1"/>
            </w:tcBorders>
          </w:tcPr>
          <w:p>
            <w:pPr>
              <w:spacing w:after="0"/>
              <w:rPr>
                <w:sz w:val="13"/>
                <w:szCs w:val="13"/>
                <w:color w:val="auto"/>
              </w:rPr>
            </w:pPr>
          </w:p>
        </w:tc>
        <w:tc>
          <w:tcPr>
            <w:tcW w:w="80" w:type="dxa"/>
            <w:vAlign w:val="bottom"/>
            <w:tcBorders>
              <w:top w:val="single" w:sz="8" w:color="0563C1"/>
            </w:tcBorders>
          </w:tcPr>
          <w:p>
            <w:pPr>
              <w:spacing w:after="0"/>
              <w:rPr>
                <w:sz w:val="13"/>
                <w:szCs w:val="13"/>
                <w:color w:val="auto"/>
              </w:rPr>
            </w:pPr>
          </w:p>
        </w:tc>
        <w:tc>
          <w:tcPr>
            <w:tcW w:w="180" w:type="dxa"/>
            <w:vAlign w:val="bottom"/>
            <w:tcBorders>
              <w:top w:val="single" w:sz="8" w:color="0563C1"/>
            </w:tcBorders>
          </w:tcPr>
          <w:p>
            <w:pPr>
              <w:spacing w:after="0"/>
              <w:rPr>
                <w:sz w:val="13"/>
                <w:szCs w:val="13"/>
                <w:color w:val="auto"/>
              </w:rPr>
            </w:pPr>
          </w:p>
        </w:tc>
        <w:tc>
          <w:tcPr>
            <w:tcW w:w="40" w:type="dxa"/>
            <w:vAlign w:val="bottom"/>
            <w:tcBorders>
              <w:top w:val="single" w:sz="8" w:color="0563C1"/>
            </w:tcBorders>
          </w:tcPr>
          <w:p>
            <w:pPr>
              <w:spacing w:after="0"/>
              <w:rPr>
                <w:sz w:val="13"/>
                <w:szCs w:val="13"/>
                <w:color w:val="auto"/>
              </w:rPr>
            </w:pPr>
          </w:p>
        </w:tc>
        <w:tc>
          <w:tcPr>
            <w:tcW w:w="20" w:type="dxa"/>
            <w:vAlign w:val="bottom"/>
            <w:tcBorders>
              <w:top w:val="single" w:sz="8" w:color="0563C1"/>
            </w:tcBorders>
          </w:tcPr>
          <w:p>
            <w:pPr>
              <w:spacing w:after="0"/>
              <w:rPr>
                <w:sz w:val="13"/>
                <w:szCs w:val="13"/>
                <w:color w:val="auto"/>
              </w:rPr>
            </w:pPr>
          </w:p>
        </w:tc>
        <w:tc>
          <w:tcPr>
            <w:tcW w:w="200" w:type="dxa"/>
            <w:vAlign w:val="bottom"/>
            <w:tcBorders>
              <w:top w:val="single" w:sz="8" w:color="0563C1"/>
            </w:tcBorders>
          </w:tcPr>
          <w:p>
            <w:pPr>
              <w:spacing w:after="0"/>
              <w:rPr>
                <w:sz w:val="13"/>
                <w:szCs w:val="13"/>
                <w:color w:val="auto"/>
              </w:rPr>
            </w:pPr>
          </w:p>
        </w:tc>
        <w:tc>
          <w:tcPr>
            <w:tcW w:w="20" w:type="dxa"/>
            <w:vAlign w:val="bottom"/>
            <w:tcBorders>
              <w:top w:val="single" w:sz="8" w:color="0563C1"/>
            </w:tcBorders>
          </w:tcPr>
          <w:p>
            <w:pPr>
              <w:spacing w:after="0"/>
              <w:rPr>
                <w:sz w:val="13"/>
                <w:szCs w:val="13"/>
                <w:color w:val="auto"/>
              </w:rPr>
            </w:pPr>
          </w:p>
        </w:tc>
        <w:tc>
          <w:tcPr>
            <w:tcW w:w="300" w:type="dxa"/>
            <w:vAlign w:val="bottom"/>
            <w:tcBorders>
              <w:top w:val="single" w:sz="8" w:color="0563C1"/>
            </w:tcBorders>
          </w:tcPr>
          <w:p>
            <w:pPr>
              <w:spacing w:after="0"/>
              <w:rPr>
                <w:sz w:val="13"/>
                <w:szCs w:val="13"/>
                <w:color w:val="auto"/>
              </w:rPr>
            </w:pPr>
          </w:p>
        </w:tc>
        <w:tc>
          <w:tcPr>
            <w:tcW w:w="60" w:type="dxa"/>
            <w:vAlign w:val="bottom"/>
            <w:tcBorders>
              <w:top w:val="single" w:sz="8" w:color="0563C1"/>
            </w:tcBorders>
          </w:tcPr>
          <w:p>
            <w:pPr>
              <w:spacing w:after="0"/>
              <w:rPr>
                <w:sz w:val="13"/>
                <w:szCs w:val="13"/>
                <w:color w:val="auto"/>
              </w:rPr>
            </w:pPr>
          </w:p>
        </w:tc>
        <w:tc>
          <w:tcPr>
            <w:tcW w:w="140" w:type="dxa"/>
            <w:vAlign w:val="bottom"/>
            <w:tcBorders>
              <w:top w:val="single" w:sz="8" w:color="0563C1"/>
            </w:tcBorders>
          </w:tcPr>
          <w:p>
            <w:pPr>
              <w:spacing w:after="0"/>
              <w:rPr>
                <w:sz w:val="13"/>
                <w:szCs w:val="13"/>
                <w:color w:val="auto"/>
              </w:rPr>
            </w:pPr>
          </w:p>
        </w:tc>
        <w:tc>
          <w:tcPr>
            <w:tcW w:w="160" w:type="dxa"/>
            <w:vAlign w:val="bottom"/>
            <w:tcBorders>
              <w:top w:val="single" w:sz="8" w:color="0563C1"/>
            </w:tcBorders>
          </w:tcPr>
          <w:p>
            <w:pPr>
              <w:spacing w:after="0"/>
              <w:rPr>
                <w:sz w:val="13"/>
                <w:szCs w:val="13"/>
                <w:color w:val="auto"/>
              </w:rPr>
            </w:pPr>
          </w:p>
        </w:tc>
        <w:tc>
          <w:tcPr>
            <w:tcW w:w="340" w:type="dxa"/>
            <w:vAlign w:val="bottom"/>
            <w:tcBorders>
              <w:top w:val="single" w:sz="8" w:color="0563C1"/>
            </w:tcBorders>
          </w:tcPr>
          <w:p>
            <w:pPr>
              <w:spacing w:after="0"/>
              <w:rPr>
                <w:sz w:val="13"/>
                <w:szCs w:val="13"/>
                <w:color w:val="auto"/>
              </w:rPr>
            </w:pPr>
          </w:p>
        </w:tc>
        <w:tc>
          <w:tcPr>
            <w:tcW w:w="20" w:type="dxa"/>
            <w:vAlign w:val="bottom"/>
            <w:tcBorders>
              <w:top w:val="single" w:sz="8" w:color="0563C1"/>
            </w:tcBorders>
          </w:tcPr>
          <w:p>
            <w:pPr>
              <w:spacing w:after="0"/>
              <w:rPr>
                <w:sz w:val="13"/>
                <w:szCs w:val="13"/>
                <w:color w:val="auto"/>
              </w:rPr>
            </w:pPr>
          </w:p>
        </w:tc>
        <w:tc>
          <w:tcPr>
            <w:tcW w:w="240" w:type="dxa"/>
            <w:vAlign w:val="bottom"/>
            <w:tcBorders>
              <w:top w:val="single" w:sz="8" w:color="0563C1"/>
            </w:tcBorders>
          </w:tcPr>
          <w:p>
            <w:pPr>
              <w:spacing w:after="0"/>
              <w:rPr>
                <w:sz w:val="13"/>
                <w:szCs w:val="13"/>
                <w:color w:val="auto"/>
              </w:rPr>
            </w:pPr>
          </w:p>
        </w:tc>
        <w:tc>
          <w:tcPr>
            <w:tcW w:w="20" w:type="dxa"/>
            <w:vAlign w:val="bottom"/>
            <w:tcBorders>
              <w:top w:val="single" w:sz="8" w:color="0563C1"/>
            </w:tcBorders>
          </w:tcPr>
          <w:p>
            <w:pPr>
              <w:spacing w:after="0"/>
              <w:rPr>
                <w:sz w:val="13"/>
                <w:szCs w:val="13"/>
                <w:color w:val="auto"/>
              </w:rPr>
            </w:pPr>
          </w:p>
        </w:tc>
        <w:tc>
          <w:tcPr>
            <w:tcW w:w="60" w:type="dxa"/>
            <w:vAlign w:val="bottom"/>
            <w:tcBorders>
              <w:top w:val="single" w:sz="8" w:color="0563C1"/>
            </w:tcBorders>
          </w:tcPr>
          <w:p>
            <w:pPr>
              <w:spacing w:after="0"/>
              <w:rPr>
                <w:sz w:val="13"/>
                <w:szCs w:val="13"/>
                <w:color w:val="auto"/>
              </w:rPr>
            </w:pPr>
          </w:p>
        </w:tc>
        <w:tc>
          <w:tcPr>
            <w:tcW w:w="60" w:type="dxa"/>
            <w:vAlign w:val="bottom"/>
            <w:tcBorders>
              <w:top w:val="single" w:sz="8" w:color="0563C1"/>
            </w:tcBorders>
          </w:tcPr>
          <w:p>
            <w:pPr>
              <w:spacing w:after="0"/>
              <w:rPr>
                <w:sz w:val="13"/>
                <w:szCs w:val="13"/>
                <w:color w:val="auto"/>
              </w:rPr>
            </w:pPr>
          </w:p>
        </w:tc>
        <w:tc>
          <w:tcPr>
            <w:tcW w:w="180" w:type="dxa"/>
            <w:vAlign w:val="bottom"/>
            <w:tcBorders>
              <w:top w:val="single" w:sz="8" w:color="0563C1"/>
            </w:tcBorders>
          </w:tcPr>
          <w:p>
            <w:pPr>
              <w:spacing w:after="0"/>
              <w:rPr>
                <w:sz w:val="13"/>
                <w:szCs w:val="13"/>
                <w:color w:val="auto"/>
              </w:rPr>
            </w:pPr>
          </w:p>
        </w:tc>
        <w:tc>
          <w:tcPr>
            <w:tcW w:w="20" w:type="dxa"/>
            <w:vAlign w:val="bottom"/>
            <w:tcBorders>
              <w:top w:val="single" w:sz="8" w:color="0563C1"/>
            </w:tcBorders>
          </w:tcPr>
          <w:p>
            <w:pPr>
              <w:spacing w:after="0"/>
              <w:rPr>
                <w:sz w:val="13"/>
                <w:szCs w:val="13"/>
                <w:color w:val="auto"/>
              </w:rPr>
            </w:pPr>
          </w:p>
        </w:tc>
        <w:tc>
          <w:tcPr>
            <w:tcW w:w="40" w:type="dxa"/>
            <w:vAlign w:val="bottom"/>
            <w:tcBorders>
              <w:top w:val="single" w:sz="8" w:color="0563C1"/>
            </w:tcBorders>
          </w:tcPr>
          <w:p>
            <w:pPr>
              <w:spacing w:after="0"/>
              <w:rPr>
                <w:sz w:val="13"/>
                <w:szCs w:val="13"/>
                <w:color w:val="auto"/>
              </w:rPr>
            </w:pPr>
          </w:p>
        </w:tc>
        <w:tc>
          <w:tcPr>
            <w:tcW w:w="140" w:type="dxa"/>
            <w:vAlign w:val="bottom"/>
            <w:tcBorders>
              <w:top w:val="single" w:sz="8" w:color="0563C1"/>
            </w:tcBorders>
          </w:tcPr>
          <w:p>
            <w:pPr>
              <w:spacing w:after="0"/>
              <w:rPr>
                <w:sz w:val="13"/>
                <w:szCs w:val="13"/>
                <w:color w:val="auto"/>
              </w:rPr>
            </w:pPr>
          </w:p>
        </w:tc>
        <w:tc>
          <w:tcPr>
            <w:tcW w:w="40" w:type="dxa"/>
            <w:vAlign w:val="bottom"/>
            <w:tcBorders>
              <w:top w:val="single" w:sz="8" w:color="0563C1"/>
            </w:tcBorders>
          </w:tcPr>
          <w:p>
            <w:pPr>
              <w:spacing w:after="0"/>
              <w:rPr>
                <w:sz w:val="13"/>
                <w:szCs w:val="13"/>
                <w:color w:val="auto"/>
              </w:rPr>
            </w:pPr>
          </w:p>
        </w:tc>
        <w:tc>
          <w:tcPr>
            <w:tcW w:w="20" w:type="dxa"/>
            <w:vAlign w:val="bottom"/>
            <w:tcBorders>
              <w:top w:val="single" w:sz="8" w:color="0563C1"/>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10.5(a)#</w:t>
            </w:r>
          </w:p>
        </w:tc>
        <w:tc>
          <w:tcPr>
            <w:tcW w:w="400" w:type="dxa"/>
            <w:vAlign w:val="bottom"/>
            <w:tcBorders>
              <w:top w:val="single" w:sz="8" w:color="0563C1"/>
            </w:tcBorders>
          </w:tcPr>
          <w:p>
            <w:pPr>
              <w:spacing w:after="0" w:line="182" w:lineRule="exact"/>
              <w:rPr>
                <w:rFonts w:ascii="Arial" w:cs="Arial" w:eastAsia="Arial" w:hAnsi="Arial"/>
                <w:sz w:val="18"/>
                <w:szCs w:val="18"/>
                <w:color w:val="0563C1"/>
                <w:w w:val="94"/>
              </w:rPr>
            </w:pPr>
            <w:hyperlink r:id="rId309">
              <w:r>
                <w:rPr>
                  <w:rFonts w:ascii="Arial" w:cs="Arial" w:eastAsia="Arial" w:hAnsi="Arial"/>
                  <w:sz w:val="18"/>
                  <w:szCs w:val="18"/>
                  <w:color w:val="0563C1"/>
                  <w:w w:val="94"/>
                </w:rPr>
                <w:t>2018</w:t>
              </w:r>
            </w:hyperlink>
          </w:p>
        </w:tc>
        <w:tc>
          <w:tcPr>
            <w:tcW w:w="5000" w:type="dxa"/>
            <w:vAlign w:val="bottom"/>
            <w:gridSpan w:val="39"/>
          </w:tcPr>
          <w:p>
            <w:pPr>
              <w:spacing w:after="0" w:line="182" w:lineRule="exact"/>
              <w:rPr>
                <w:rFonts w:ascii="Arial" w:cs="Arial" w:eastAsia="Arial" w:hAnsi="Arial"/>
                <w:sz w:val="18"/>
                <w:szCs w:val="18"/>
                <w:color w:val="0563C1"/>
              </w:rPr>
            </w:pPr>
            <w:hyperlink r:id="rId309">
              <w:r>
                <w:rPr>
                  <w:rFonts w:ascii="Arial" w:cs="Arial" w:eastAsia="Arial" w:hAnsi="Arial"/>
                  <w:sz w:val="18"/>
                  <w:szCs w:val="18"/>
                  <w:color w:val="0563C1"/>
                </w:rPr>
                <w:t>Equity Incentive Plan, as amended.</w:t>
              </w:r>
            </w:hyperlink>
          </w:p>
        </w:tc>
        <w:tc>
          <w:tcPr>
            <w:tcW w:w="820" w:type="dxa"/>
            <w:vAlign w:val="bottom"/>
          </w:tcPr>
          <w:p>
            <w:pPr>
              <w:jc w:val="center"/>
              <w:ind w:left="71"/>
              <w:spacing w:after="0" w:line="182" w:lineRule="exact"/>
              <w:rPr>
                <w:sz w:val="20"/>
                <w:szCs w:val="20"/>
                <w:color w:val="auto"/>
              </w:rPr>
            </w:pPr>
            <w:r>
              <w:rPr>
                <w:rFonts w:ascii="Arial" w:cs="Arial" w:eastAsia="Arial" w:hAnsi="Arial"/>
                <w:sz w:val="18"/>
                <w:szCs w:val="18"/>
                <w:color w:val="auto"/>
                <w:w w:val="92"/>
              </w:rPr>
              <w:t>S-1</w:t>
            </w:r>
          </w:p>
        </w:tc>
        <w:tc>
          <w:tcPr>
            <w:tcW w:w="1800" w:type="dxa"/>
            <w:vAlign w:val="bottom"/>
          </w:tcPr>
          <w:p>
            <w:pPr>
              <w:jc w:val="center"/>
              <w:ind w:right="11"/>
              <w:spacing w:after="0" w:line="182" w:lineRule="exact"/>
              <w:rPr>
                <w:sz w:val="20"/>
                <w:szCs w:val="20"/>
                <w:color w:val="auto"/>
              </w:rPr>
            </w:pPr>
            <w:r>
              <w:rPr>
                <w:rFonts w:ascii="Arial" w:cs="Arial" w:eastAsia="Arial" w:hAnsi="Arial"/>
                <w:sz w:val="18"/>
                <w:szCs w:val="18"/>
                <w:color w:val="auto"/>
                <w:w w:val="92"/>
              </w:rPr>
              <w:t>9/25/2020</w:t>
            </w:r>
          </w:p>
        </w:tc>
        <w:tc>
          <w:tcPr>
            <w:tcW w:w="860" w:type="dxa"/>
            <w:vAlign w:val="bottom"/>
          </w:tcPr>
          <w:p>
            <w:pPr>
              <w:jc w:val="center"/>
              <w:ind w:right="171"/>
              <w:spacing w:after="0" w:line="182" w:lineRule="exact"/>
              <w:rPr>
                <w:sz w:val="20"/>
                <w:szCs w:val="20"/>
                <w:color w:val="auto"/>
              </w:rPr>
            </w:pPr>
            <w:r>
              <w:rPr>
                <w:rFonts w:ascii="Arial" w:cs="Arial" w:eastAsia="Arial" w:hAnsi="Arial"/>
                <w:sz w:val="18"/>
                <w:szCs w:val="18"/>
                <w:color w:val="auto"/>
                <w:w w:val="91"/>
              </w:rPr>
              <w:t>10.5(a)</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10.5(b)#</w:t>
            </w:r>
          </w:p>
        </w:tc>
        <w:tc>
          <w:tcPr>
            <w:tcW w:w="2960" w:type="dxa"/>
            <w:vAlign w:val="bottom"/>
            <w:tcBorders>
              <w:top w:val="single" w:sz="8" w:color="0563C1"/>
            </w:tcBorders>
            <w:gridSpan w:val="12"/>
          </w:tcPr>
          <w:p>
            <w:pPr>
              <w:spacing w:after="0" w:line="182" w:lineRule="exact"/>
              <w:rPr>
                <w:rFonts w:ascii="Arial" w:cs="Arial" w:eastAsia="Arial" w:hAnsi="Arial"/>
                <w:sz w:val="18"/>
                <w:szCs w:val="18"/>
                <w:color w:val="0563C1"/>
                <w:w w:val="93"/>
              </w:rPr>
            </w:pPr>
            <w:hyperlink r:id="rId310">
              <w:r>
                <w:rPr>
                  <w:rFonts w:ascii="Arial" w:cs="Arial" w:eastAsia="Arial" w:hAnsi="Arial"/>
                  <w:sz w:val="18"/>
                  <w:szCs w:val="18"/>
                  <w:color w:val="0563C1"/>
                  <w:w w:val="93"/>
                </w:rPr>
                <w:t>Form of Stock Option Grant Notice and</w:t>
              </w:r>
            </w:hyperlink>
          </w:p>
        </w:tc>
        <w:tc>
          <w:tcPr>
            <w:tcW w:w="2440" w:type="dxa"/>
            <w:vAlign w:val="bottom"/>
            <w:gridSpan w:val="28"/>
          </w:tcPr>
          <w:p>
            <w:pPr>
              <w:jc w:val="right"/>
              <w:ind w:right="240"/>
              <w:spacing w:after="0" w:line="182" w:lineRule="exact"/>
              <w:rPr>
                <w:rFonts w:ascii="Arial" w:cs="Arial" w:eastAsia="Arial" w:hAnsi="Arial"/>
                <w:sz w:val="18"/>
                <w:szCs w:val="18"/>
                <w:color w:val="0563C1"/>
                <w:w w:val="88"/>
              </w:rPr>
            </w:pPr>
            <w:hyperlink r:id="rId310">
              <w:r>
                <w:rPr>
                  <w:rFonts w:ascii="Arial" w:cs="Arial" w:eastAsia="Arial" w:hAnsi="Arial"/>
                  <w:sz w:val="18"/>
                  <w:szCs w:val="18"/>
                  <w:color w:val="0563C1"/>
                  <w:w w:val="88"/>
                </w:rPr>
                <w:t>Stock Option Agreement under</w:t>
              </w:r>
            </w:hyperlink>
          </w:p>
        </w:tc>
        <w:tc>
          <w:tcPr>
            <w:tcW w:w="820" w:type="dxa"/>
            <w:vAlign w:val="bottom"/>
            <w:vMerge w:val="restart"/>
          </w:tcPr>
          <w:p>
            <w:pPr>
              <w:jc w:val="center"/>
              <w:ind w:left="71"/>
              <w:spacing w:after="0"/>
              <w:rPr>
                <w:sz w:val="20"/>
                <w:szCs w:val="20"/>
                <w:color w:val="auto"/>
              </w:rPr>
            </w:pPr>
            <w:r>
              <w:rPr>
                <w:rFonts w:ascii="Arial" w:cs="Arial" w:eastAsia="Arial" w:hAnsi="Arial"/>
                <w:sz w:val="18"/>
                <w:szCs w:val="18"/>
                <w:color w:val="auto"/>
                <w:w w:val="92"/>
              </w:rPr>
              <w:t>S-1</w:t>
            </w:r>
          </w:p>
        </w:tc>
        <w:tc>
          <w:tcPr>
            <w:tcW w:w="1800" w:type="dxa"/>
            <w:vAlign w:val="bottom"/>
            <w:vMerge w:val="restart"/>
          </w:tcPr>
          <w:p>
            <w:pPr>
              <w:jc w:val="center"/>
              <w:ind w:right="11"/>
              <w:spacing w:after="0"/>
              <w:rPr>
                <w:sz w:val="20"/>
                <w:szCs w:val="20"/>
                <w:color w:val="auto"/>
              </w:rPr>
            </w:pPr>
            <w:r>
              <w:rPr>
                <w:rFonts w:ascii="Arial" w:cs="Arial" w:eastAsia="Arial" w:hAnsi="Arial"/>
                <w:sz w:val="18"/>
                <w:szCs w:val="18"/>
                <w:color w:val="auto"/>
                <w:w w:val="92"/>
              </w:rPr>
              <w:t>9/25/2020</w:t>
            </w:r>
          </w:p>
        </w:tc>
        <w:tc>
          <w:tcPr>
            <w:tcW w:w="860" w:type="dxa"/>
            <w:vAlign w:val="bottom"/>
            <w:vMerge w:val="restart"/>
          </w:tcPr>
          <w:p>
            <w:pPr>
              <w:jc w:val="center"/>
              <w:ind w:right="171"/>
              <w:spacing w:after="0"/>
              <w:rPr>
                <w:sz w:val="20"/>
                <w:szCs w:val="20"/>
                <w:color w:val="auto"/>
              </w:rPr>
            </w:pPr>
            <w:r>
              <w:rPr>
                <w:rFonts w:ascii="Arial" w:cs="Arial" w:eastAsia="Arial" w:hAnsi="Arial"/>
                <w:sz w:val="18"/>
                <w:szCs w:val="18"/>
                <w:color w:val="auto"/>
                <w:w w:val="91"/>
              </w:rPr>
              <w:t>10.5(b)</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10.5(c)#</w:t>
            </w:r>
          </w:p>
        </w:tc>
        <w:tc>
          <w:tcPr>
            <w:tcW w:w="5220" w:type="dxa"/>
            <w:vAlign w:val="bottom"/>
            <w:tcBorders>
              <w:top w:val="single" w:sz="8" w:color="0563C1"/>
            </w:tcBorders>
            <w:gridSpan w:val="34"/>
          </w:tcPr>
          <w:p>
            <w:pPr>
              <w:spacing w:after="0" w:line="156" w:lineRule="exact"/>
              <w:rPr>
                <w:rFonts w:ascii="Arial" w:cs="Arial" w:eastAsia="Arial" w:hAnsi="Arial"/>
                <w:sz w:val="18"/>
                <w:szCs w:val="18"/>
                <w:color w:val="0563C1"/>
              </w:rPr>
            </w:pPr>
            <w:hyperlink r:id="rId310">
              <w:r>
                <w:rPr>
                  <w:rFonts w:ascii="Arial" w:cs="Arial" w:eastAsia="Arial" w:hAnsi="Arial"/>
                  <w:sz w:val="18"/>
                  <w:szCs w:val="18"/>
                  <w:color w:val="0563C1"/>
                </w:rPr>
                <w:t>2018 Equity Incentive Plan, as amended.</w:t>
              </w:r>
            </w:hyperlink>
          </w:p>
        </w:tc>
        <w:tc>
          <w:tcPr>
            <w:tcW w:w="12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300" w:type="dxa"/>
            <w:vAlign w:val="bottom"/>
            <w:tcBorders>
              <w:right w:val="single" w:sz="8" w:color="0563C1"/>
            </w:tcBorders>
            <w:shd w:val="clear" w:color="auto" w:fill="0563C1"/>
          </w:tcPr>
          <w:p>
            <w:pPr>
              <w:spacing w:after="0" w:line="20" w:lineRule="exact"/>
              <w:rPr>
                <w:sz w:val="1"/>
                <w:szCs w:val="1"/>
                <w:color w:val="auto"/>
              </w:rPr>
            </w:pPr>
          </w:p>
        </w:tc>
        <w:tc>
          <w:tcPr>
            <w:tcW w:w="400" w:type="dxa"/>
            <w:vAlign w:val="bottom"/>
            <w:gridSpan w:val="3"/>
            <w:shd w:val="clear" w:color="auto" w:fill="0563C1"/>
          </w:tcPr>
          <w:p>
            <w:pPr>
              <w:spacing w:after="0" w:line="20" w:lineRule="exact"/>
              <w:rPr>
                <w:sz w:val="1"/>
                <w:szCs w:val="1"/>
                <w:color w:val="auto"/>
              </w:rPr>
            </w:pPr>
          </w:p>
        </w:tc>
        <w:tc>
          <w:tcPr>
            <w:tcW w:w="260" w:type="dxa"/>
            <w:vAlign w:val="bottom"/>
            <w:tcBorders>
              <w:right w:val="single" w:sz="8" w:color="0000EE"/>
            </w:tcBorders>
            <w:gridSpan w:val="2"/>
            <w:shd w:val="clear" w:color="auto" w:fill="0563C1"/>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5400" w:type="dxa"/>
            <w:vAlign w:val="bottom"/>
            <w:gridSpan w:val="40"/>
          </w:tcPr>
          <w:p>
            <w:pPr>
              <w:spacing w:after="0" w:line="182" w:lineRule="exact"/>
              <w:rPr>
                <w:rFonts w:ascii="Arial" w:cs="Arial" w:eastAsia="Arial" w:hAnsi="Arial"/>
                <w:sz w:val="18"/>
                <w:szCs w:val="18"/>
                <w:color w:val="0563C1"/>
                <w:w w:val="99"/>
              </w:rPr>
            </w:pPr>
            <w:hyperlink r:id="rId311">
              <w:r>
                <w:rPr>
                  <w:rFonts w:ascii="Arial" w:cs="Arial" w:eastAsia="Arial" w:hAnsi="Arial"/>
                  <w:sz w:val="18"/>
                  <w:szCs w:val="18"/>
                  <w:color w:val="0563C1"/>
                  <w:w w:val="99"/>
                </w:rPr>
                <w:t>Form of Early Exercise Stock Option Grant Notice and Stock Option</w:t>
              </w:r>
            </w:hyperlink>
          </w:p>
        </w:tc>
        <w:tc>
          <w:tcPr>
            <w:tcW w:w="820" w:type="dxa"/>
            <w:vAlign w:val="bottom"/>
            <w:vMerge w:val="restart"/>
          </w:tcPr>
          <w:p>
            <w:pPr>
              <w:jc w:val="center"/>
              <w:ind w:left="71"/>
              <w:spacing w:after="0"/>
              <w:rPr>
                <w:sz w:val="20"/>
                <w:szCs w:val="20"/>
                <w:color w:val="auto"/>
              </w:rPr>
            </w:pPr>
            <w:r>
              <w:rPr>
                <w:rFonts w:ascii="Arial" w:cs="Arial" w:eastAsia="Arial" w:hAnsi="Arial"/>
                <w:sz w:val="18"/>
                <w:szCs w:val="18"/>
                <w:color w:val="auto"/>
                <w:w w:val="92"/>
              </w:rPr>
              <w:t>S-1</w:t>
            </w:r>
          </w:p>
        </w:tc>
        <w:tc>
          <w:tcPr>
            <w:tcW w:w="1800" w:type="dxa"/>
            <w:vAlign w:val="bottom"/>
            <w:vMerge w:val="restart"/>
          </w:tcPr>
          <w:p>
            <w:pPr>
              <w:jc w:val="center"/>
              <w:ind w:right="11"/>
              <w:spacing w:after="0"/>
              <w:rPr>
                <w:sz w:val="20"/>
                <w:szCs w:val="20"/>
                <w:color w:val="auto"/>
              </w:rPr>
            </w:pPr>
            <w:r>
              <w:rPr>
                <w:rFonts w:ascii="Arial" w:cs="Arial" w:eastAsia="Arial" w:hAnsi="Arial"/>
                <w:sz w:val="18"/>
                <w:szCs w:val="18"/>
                <w:color w:val="auto"/>
                <w:w w:val="92"/>
              </w:rPr>
              <w:t>9/25/2020</w:t>
            </w:r>
          </w:p>
        </w:tc>
        <w:tc>
          <w:tcPr>
            <w:tcW w:w="860" w:type="dxa"/>
            <w:vAlign w:val="bottom"/>
            <w:vMerge w:val="restart"/>
          </w:tcPr>
          <w:p>
            <w:pPr>
              <w:jc w:val="center"/>
              <w:ind w:right="171"/>
              <w:spacing w:after="0"/>
              <w:rPr>
                <w:sz w:val="20"/>
                <w:szCs w:val="20"/>
                <w:color w:val="auto"/>
              </w:rPr>
            </w:pPr>
            <w:r>
              <w:rPr>
                <w:rFonts w:ascii="Arial" w:cs="Arial" w:eastAsia="Arial" w:hAnsi="Arial"/>
                <w:sz w:val="18"/>
                <w:szCs w:val="18"/>
                <w:color w:val="auto"/>
                <w:w w:val="92"/>
              </w:rPr>
              <w:t>10.5(c)</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10.5(d)#</w:t>
            </w:r>
          </w:p>
        </w:tc>
        <w:tc>
          <w:tcPr>
            <w:tcW w:w="5020" w:type="dxa"/>
            <w:vAlign w:val="bottom"/>
            <w:tcBorders>
              <w:top w:val="single" w:sz="8" w:color="0563C1"/>
            </w:tcBorders>
            <w:gridSpan w:val="30"/>
          </w:tcPr>
          <w:p>
            <w:pPr>
              <w:spacing w:after="0" w:line="156" w:lineRule="exact"/>
              <w:rPr>
                <w:rFonts w:ascii="Arial" w:cs="Arial" w:eastAsia="Arial" w:hAnsi="Arial"/>
                <w:sz w:val="18"/>
                <w:szCs w:val="18"/>
                <w:color w:val="0563C1"/>
              </w:rPr>
            </w:pPr>
            <w:hyperlink r:id="rId311">
              <w:r>
                <w:rPr>
                  <w:rFonts w:ascii="Arial" w:cs="Arial" w:eastAsia="Arial" w:hAnsi="Arial"/>
                  <w:sz w:val="18"/>
                  <w:szCs w:val="18"/>
                  <w:color w:val="0563C1"/>
                </w:rPr>
                <w:t>Agreement under 2018 Equity Incentive Plan, as amended.</w:t>
              </w:r>
            </w:hyperlink>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40" w:type="dxa"/>
            <w:vAlign w:val="bottom"/>
            <w:gridSpan w:val="6"/>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4240" w:type="dxa"/>
            <w:vAlign w:val="bottom"/>
            <w:tcBorders>
              <w:top w:val="single" w:sz="8" w:color="0563C1"/>
            </w:tcBorders>
            <w:gridSpan w:val="21"/>
          </w:tcPr>
          <w:p>
            <w:pPr>
              <w:spacing w:after="0" w:line="182" w:lineRule="exact"/>
              <w:rPr>
                <w:rFonts w:ascii="Arial" w:cs="Arial" w:eastAsia="Arial" w:hAnsi="Arial"/>
                <w:sz w:val="18"/>
                <w:szCs w:val="18"/>
                <w:color w:val="0563C1"/>
                <w:w w:val="90"/>
              </w:rPr>
            </w:pPr>
            <w:hyperlink r:id="rId312">
              <w:r>
                <w:rPr>
                  <w:rFonts w:ascii="Arial" w:cs="Arial" w:eastAsia="Arial" w:hAnsi="Arial"/>
                  <w:sz w:val="18"/>
                  <w:szCs w:val="18"/>
                  <w:color w:val="0563C1"/>
                  <w:w w:val="90"/>
                </w:rPr>
                <w:t>Form of International Stock Option Grant Notice and Stock</w:t>
              </w:r>
            </w:hyperlink>
          </w:p>
        </w:tc>
        <w:tc>
          <w:tcPr>
            <w:tcW w:w="20" w:type="dxa"/>
            <w:vAlign w:val="bottom"/>
            <w:tcBorders>
              <w:top w:val="single" w:sz="8" w:color="0000EE"/>
            </w:tcBorders>
          </w:tcPr>
          <w:p>
            <w:pPr>
              <w:spacing w:after="0"/>
              <w:rPr>
                <w:sz w:val="15"/>
                <w:szCs w:val="15"/>
                <w:color w:val="auto"/>
              </w:rPr>
            </w:pPr>
          </w:p>
        </w:tc>
        <w:tc>
          <w:tcPr>
            <w:tcW w:w="1140" w:type="dxa"/>
            <w:vAlign w:val="bottom"/>
            <w:gridSpan w:val="18"/>
          </w:tcPr>
          <w:p>
            <w:pPr>
              <w:ind w:left="80"/>
              <w:spacing w:after="0" w:line="182" w:lineRule="exact"/>
              <w:rPr>
                <w:rFonts w:ascii="Arial" w:cs="Arial" w:eastAsia="Arial" w:hAnsi="Arial"/>
                <w:sz w:val="18"/>
                <w:szCs w:val="18"/>
                <w:color w:val="0563C1"/>
              </w:rPr>
            </w:pPr>
            <w:hyperlink r:id="rId312">
              <w:r>
                <w:rPr>
                  <w:rFonts w:ascii="Arial" w:cs="Arial" w:eastAsia="Arial" w:hAnsi="Arial"/>
                  <w:sz w:val="18"/>
                  <w:szCs w:val="18"/>
                  <w:color w:val="0563C1"/>
                </w:rPr>
                <w:t>Option</w:t>
              </w:r>
            </w:hyperlink>
          </w:p>
        </w:tc>
        <w:tc>
          <w:tcPr>
            <w:tcW w:w="820" w:type="dxa"/>
            <w:vAlign w:val="bottom"/>
            <w:vMerge w:val="restart"/>
          </w:tcPr>
          <w:p>
            <w:pPr>
              <w:jc w:val="center"/>
              <w:ind w:left="71"/>
              <w:spacing w:after="0"/>
              <w:rPr>
                <w:sz w:val="20"/>
                <w:szCs w:val="20"/>
                <w:color w:val="auto"/>
              </w:rPr>
            </w:pPr>
            <w:r>
              <w:rPr>
                <w:rFonts w:ascii="Arial" w:cs="Arial" w:eastAsia="Arial" w:hAnsi="Arial"/>
                <w:sz w:val="18"/>
                <w:szCs w:val="18"/>
                <w:color w:val="auto"/>
                <w:w w:val="92"/>
              </w:rPr>
              <w:t>S-1</w:t>
            </w:r>
          </w:p>
        </w:tc>
        <w:tc>
          <w:tcPr>
            <w:tcW w:w="1800" w:type="dxa"/>
            <w:vAlign w:val="bottom"/>
            <w:vMerge w:val="restart"/>
          </w:tcPr>
          <w:p>
            <w:pPr>
              <w:jc w:val="center"/>
              <w:ind w:right="11"/>
              <w:spacing w:after="0"/>
              <w:rPr>
                <w:sz w:val="20"/>
                <w:szCs w:val="20"/>
                <w:color w:val="auto"/>
              </w:rPr>
            </w:pPr>
            <w:r>
              <w:rPr>
                <w:rFonts w:ascii="Arial" w:cs="Arial" w:eastAsia="Arial" w:hAnsi="Arial"/>
                <w:sz w:val="18"/>
                <w:szCs w:val="18"/>
                <w:color w:val="auto"/>
                <w:w w:val="92"/>
              </w:rPr>
              <w:t>9/25/2020</w:t>
            </w:r>
          </w:p>
        </w:tc>
        <w:tc>
          <w:tcPr>
            <w:tcW w:w="860" w:type="dxa"/>
            <w:vAlign w:val="bottom"/>
            <w:vMerge w:val="restart"/>
          </w:tcPr>
          <w:p>
            <w:pPr>
              <w:jc w:val="center"/>
              <w:ind w:right="171"/>
              <w:spacing w:after="0"/>
              <w:rPr>
                <w:sz w:val="20"/>
                <w:szCs w:val="20"/>
                <w:color w:val="auto"/>
              </w:rPr>
            </w:pPr>
            <w:r>
              <w:rPr>
                <w:rFonts w:ascii="Arial" w:cs="Arial" w:eastAsia="Arial" w:hAnsi="Arial"/>
                <w:sz w:val="18"/>
                <w:szCs w:val="18"/>
                <w:color w:val="auto"/>
                <w:w w:val="91"/>
              </w:rPr>
              <w:t>10.5(d)</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4880" w:type="dxa"/>
            <w:vAlign w:val="bottom"/>
            <w:tcBorders>
              <w:top w:val="single" w:sz="8" w:color="0563C1"/>
            </w:tcBorders>
            <w:gridSpan w:val="29"/>
          </w:tcPr>
          <w:p>
            <w:pPr>
              <w:spacing w:after="0" w:line="156" w:lineRule="exact"/>
              <w:rPr>
                <w:rFonts w:ascii="Arial" w:cs="Arial" w:eastAsia="Arial" w:hAnsi="Arial"/>
                <w:sz w:val="18"/>
                <w:szCs w:val="18"/>
                <w:color w:val="0563C1"/>
              </w:rPr>
            </w:pPr>
            <w:hyperlink r:id="rId312">
              <w:r>
                <w:rPr>
                  <w:rFonts w:ascii="Arial" w:cs="Arial" w:eastAsia="Arial" w:hAnsi="Arial"/>
                  <w:sz w:val="18"/>
                  <w:szCs w:val="18"/>
                  <w:color w:val="0563C1"/>
                </w:rPr>
                <w:t>Agreement under 2018 Equity Incentive Plan, as amended.</w:t>
              </w:r>
            </w:hyperlink>
          </w:p>
        </w:tc>
        <w:tc>
          <w:tcPr>
            <w:tcW w:w="18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140" w:type="dxa"/>
            <w:vAlign w:val="bottom"/>
            <w:gridSpan w:val="6"/>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10.6(a)#</w:t>
            </w:r>
          </w:p>
        </w:tc>
        <w:tc>
          <w:tcPr>
            <w:tcW w:w="4240" w:type="dxa"/>
            <w:vAlign w:val="bottom"/>
            <w:tcBorders>
              <w:top w:val="single" w:sz="8" w:color="0563C1"/>
            </w:tcBorders>
            <w:gridSpan w:val="21"/>
          </w:tcPr>
          <w:p>
            <w:pPr>
              <w:spacing w:after="0" w:line="182" w:lineRule="exact"/>
              <w:rPr>
                <w:rFonts w:ascii="Arial" w:cs="Arial" w:eastAsia="Arial" w:hAnsi="Arial"/>
                <w:sz w:val="18"/>
                <w:szCs w:val="18"/>
                <w:color w:val="0563C1"/>
              </w:rPr>
            </w:pPr>
            <w:hyperlink r:id="rId313">
              <w:r>
                <w:rPr>
                  <w:rFonts w:ascii="Arial" w:cs="Arial" w:eastAsia="Arial" w:hAnsi="Arial"/>
                  <w:sz w:val="18"/>
                  <w:szCs w:val="18"/>
                  <w:color w:val="0563C1"/>
                </w:rPr>
                <w:t>2020 Incentive Award Plan.</w:t>
              </w:r>
            </w:hyperlink>
          </w:p>
        </w:tc>
        <w:tc>
          <w:tcPr>
            <w:tcW w:w="26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260" w:type="dxa"/>
            <w:vAlign w:val="bottom"/>
            <w:gridSpan w:val="3"/>
          </w:tcPr>
          <w:p>
            <w:pPr>
              <w:spacing w:after="0"/>
              <w:rPr>
                <w:sz w:val="15"/>
                <w:szCs w:val="15"/>
                <w:color w:val="auto"/>
              </w:rPr>
            </w:pPr>
          </w:p>
        </w:tc>
        <w:tc>
          <w:tcPr>
            <w:tcW w:w="220" w:type="dxa"/>
            <w:vAlign w:val="bottom"/>
            <w:gridSpan w:val="3"/>
          </w:tcPr>
          <w:p>
            <w:pPr>
              <w:spacing w:after="0"/>
              <w:rPr>
                <w:sz w:val="15"/>
                <w:szCs w:val="15"/>
                <w:color w:val="auto"/>
              </w:rPr>
            </w:pPr>
          </w:p>
        </w:tc>
        <w:tc>
          <w:tcPr>
            <w:tcW w:w="140" w:type="dxa"/>
            <w:vAlign w:val="bottom"/>
            <w:gridSpan w:val="2"/>
          </w:tcPr>
          <w:p>
            <w:pPr>
              <w:spacing w:after="0"/>
              <w:rPr>
                <w:sz w:val="15"/>
                <w:szCs w:val="15"/>
                <w:color w:val="auto"/>
              </w:rPr>
            </w:pPr>
          </w:p>
        </w:tc>
        <w:tc>
          <w:tcPr>
            <w:tcW w:w="140" w:type="dxa"/>
            <w:vAlign w:val="bottom"/>
            <w:gridSpan w:val="6"/>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center"/>
              <w:ind w:left="71"/>
              <w:spacing w:after="0" w:line="182" w:lineRule="exact"/>
              <w:rPr>
                <w:sz w:val="20"/>
                <w:szCs w:val="20"/>
                <w:color w:val="auto"/>
              </w:rPr>
            </w:pPr>
            <w:r>
              <w:rPr>
                <w:rFonts w:ascii="Arial" w:cs="Arial" w:eastAsia="Arial" w:hAnsi="Arial"/>
                <w:sz w:val="18"/>
                <w:szCs w:val="18"/>
                <w:color w:val="auto"/>
                <w:w w:val="93"/>
              </w:rPr>
              <w:t>S-1/A</w:t>
            </w:r>
          </w:p>
        </w:tc>
        <w:tc>
          <w:tcPr>
            <w:tcW w:w="1800" w:type="dxa"/>
            <w:vAlign w:val="bottom"/>
          </w:tcPr>
          <w:p>
            <w:pPr>
              <w:jc w:val="center"/>
              <w:ind w:right="11"/>
              <w:spacing w:after="0" w:line="182" w:lineRule="exact"/>
              <w:rPr>
                <w:sz w:val="20"/>
                <w:szCs w:val="20"/>
                <w:color w:val="auto"/>
              </w:rPr>
            </w:pPr>
            <w:r>
              <w:rPr>
                <w:rFonts w:ascii="Arial" w:cs="Arial" w:eastAsia="Arial" w:hAnsi="Arial"/>
                <w:sz w:val="18"/>
                <w:szCs w:val="18"/>
                <w:color w:val="auto"/>
                <w:w w:val="92"/>
              </w:rPr>
              <w:t>10/9/2020</w:t>
            </w:r>
          </w:p>
        </w:tc>
        <w:tc>
          <w:tcPr>
            <w:tcW w:w="860" w:type="dxa"/>
            <w:vAlign w:val="bottom"/>
          </w:tcPr>
          <w:p>
            <w:pPr>
              <w:jc w:val="center"/>
              <w:ind w:right="171"/>
              <w:spacing w:after="0" w:line="182" w:lineRule="exact"/>
              <w:rPr>
                <w:sz w:val="20"/>
                <w:szCs w:val="20"/>
                <w:color w:val="auto"/>
              </w:rPr>
            </w:pPr>
            <w:r>
              <w:rPr>
                <w:rFonts w:ascii="Arial" w:cs="Arial" w:eastAsia="Arial" w:hAnsi="Arial"/>
                <w:sz w:val="18"/>
                <w:szCs w:val="18"/>
                <w:color w:val="auto"/>
                <w:w w:val="91"/>
              </w:rPr>
              <w:t>10.6(a)</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10.6(b)#</w:t>
            </w:r>
          </w:p>
        </w:tc>
        <w:tc>
          <w:tcPr>
            <w:tcW w:w="2000" w:type="dxa"/>
            <w:vAlign w:val="bottom"/>
            <w:tcBorders>
              <w:top w:val="single" w:sz="8" w:color="0563C1"/>
            </w:tcBorders>
            <w:gridSpan w:val="6"/>
          </w:tcPr>
          <w:p>
            <w:pPr>
              <w:spacing w:after="0" w:line="182" w:lineRule="exact"/>
              <w:rPr>
                <w:rFonts w:ascii="Arial" w:cs="Arial" w:eastAsia="Arial" w:hAnsi="Arial"/>
                <w:sz w:val="18"/>
                <w:szCs w:val="18"/>
                <w:color w:val="0563C1"/>
                <w:w w:val="89"/>
              </w:rPr>
            </w:pPr>
            <w:hyperlink r:id="rId314">
              <w:r>
                <w:rPr>
                  <w:rFonts w:ascii="Arial" w:cs="Arial" w:eastAsia="Arial" w:hAnsi="Arial"/>
                  <w:sz w:val="18"/>
                  <w:szCs w:val="18"/>
                  <w:color w:val="0563C1"/>
                  <w:w w:val="89"/>
                </w:rPr>
                <w:t>Form of Stock Option Grant</w:t>
              </w:r>
            </w:hyperlink>
          </w:p>
        </w:tc>
        <w:tc>
          <w:tcPr>
            <w:tcW w:w="3400" w:type="dxa"/>
            <w:vAlign w:val="bottom"/>
            <w:gridSpan w:val="34"/>
          </w:tcPr>
          <w:p>
            <w:pPr>
              <w:jc w:val="right"/>
              <w:ind w:right="240"/>
              <w:spacing w:after="0" w:line="182" w:lineRule="exact"/>
              <w:rPr>
                <w:rFonts w:ascii="Arial" w:cs="Arial" w:eastAsia="Arial" w:hAnsi="Arial"/>
                <w:sz w:val="18"/>
                <w:szCs w:val="18"/>
                <w:color w:val="0563C1"/>
                <w:w w:val="92"/>
              </w:rPr>
            </w:pPr>
            <w:hyperlink r:id="rId314">
              <w:r>
                <w:rPr>
                  <w:rFonts w:ascii="Arial" w:cs="Arial" w:eastAsia="Arial" w:hAnsi="Arial"/>
                  <w:sz w:val="18"/>
                  <w:szCs w:val="18"/>
                  <w:color w:val="0563C1"/>
                  <w:w w:val="92"/>
                </w:rPr>
                <w:t>Notice and Stock Option Agreement under</w:t>
              </w:r>
            </w:hyperlink>
          </w:p>
        </w:tc>
        <w:tc>
          <w:tcPr>
            <w:tcW w:w="820" w:type="dxa"/>
            <w:vAlign w:val="bottom"/>
            <w:vMerge w:val="restart"/>
          </w:tcPr>
          <w:p>
            <w:pPr>
              <w:jc w:val="center"/>
              <w:ind w:left="71"/>
              <w:spacing w:after="0"/>
              <w:rPr>
                <w:sz w:val="20"/>
                <w:szCs w:val="20"/>
                <w:color w:val="auto"/>
              </w:rPr>
            </w:pPr>
            <w:r>
              <w:rPr>
                <w:rFonts w:ascii="Arial" w:cs="Arial" w:eastAsia="Arial" w:hAnsi="Arial"/>
                <w:sz w:val="18"/>
                <w:szCs w:val="18"/>
                <w:color w:val="auto"/>
                <w:w w:val="93"/>
              </w:rPr>
              <w:t>S-1/A</w:t>
            </w:r>
          </w:p>
        </w:tc>
        <w:tc>
          <w:tcPr>
            <w:tcW w:w="1800" w:type="dxa"/>
            <w:vAlign w:val="bottom"/>
            <w:vMerge w:val="restart"/>
          </w:tcPr>
          <w:p>
            <w:pPr>
              <w:jc w:val="center"/>
              <w:ind w:right="11"/>
              <w:spacing w:after="0"/>
              <w:rPr>
                <w:sz w:val="20"/>
                <w:szCs w:val="20"/>
                <w:color w:val="auto"/>
              </w:rPr>
            </w:pPr>
            <w:r>
              <w:rPr>
                <w:rFonts w:ascii="Arial" w:cs="Arial" w:eastAsia="Arial" w:hAnsi="Arial"/>
                <w:sz w:val="18"/>
                <w:szCs w:val="18"/>
                <w:color w:val="auto"/>
                <w:w w:val="92"/>
              </w:rPr>
              <w:t>10/9/2020</w:t>
            </w:r>
          </w:p>
        </w:tc>
        <w:tc>
          <w:tcPr>
            <w:tcW w:w="860" w:type="dxa"/>
            <w:vAlign w:val="bottom"/>
            <w:vMerge w:val="restart"/>
          </w:tcPr>
          <w:p>
            <w:pPr>
              <w:jc w:val="center"/>
              <w:ind w:right="171"/>
              <w:spacing w:after="0"/>
              <w:rPr>
                <w:sz w:val="20"/>
                <w:szCs w:val="20"/>
                <w:color w:val="auto"/>
              </w:rPr>
            </w:pPr>
            <w:r>
              <w:rPr>
                <w:rFonts w:ascii="Arial" w:cs="Arial" w:eastAsia="Arial" w:hAnsi="Arial"/>
                <w:sz w:val="18"/>
                <w:szCs w:val="18"/>
                <w:color w:val="auto"/>
                <w:w w:val="91"/>
              </w:rPr>
              <w:t>10.6(b)</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10.6(c)#</w:t>
            </w:r>
          </w:p>
        </w:tc>
        <w:tc>
          <w:tcPr>
            <w:tcW w:w="5220" w:type="dxa"/>
            <w:vAlign w:val="bottom"/>
            <w:tcBorders>
              <w:top w:val="single" w:sz="8" w:color="0563C1"/>
            </w:tcBorders>
            <w:gridSpan w:val="34"/>
          </w:tcPr>
          <w:p>
            <w:pPr>
              <w:spacing w:after="0" w:line="156" w:lineRule="exact"/>
              <w:rPr>
                <w:rFonts w:ascii="Arial" w:cs="Arial" w:eastAsia="Arial" w:hAnsi="Arial"/>
                <w:sz w:val="18"/>
                <w:szCs w:val="18"/>
                <w:color w:val="0563C1"/>
              </w:rPr>
            </w:pPr>
            <w:hyperlink r:id="rId314">
              <w:r>
                <w:rPr>
                  <w:rFonts w:ascii="Arial" w:cs="Arial" w:eastAsia="Arial" w:hAnsi="Arial"/>
                  <w:sz w:val="18"/>
                  <w:szCs w:val="18"/>
                  <w:color w:val="0563C1"/>
                </w:rPr>
                <w:t>the 2020 Incentive Award Plan.</w:t>
              </w:r>
            </w:hyperlink>
          </w:p>
        </w:tc>
        <w:tc>
          <w:tcPr>
            <w:tcW w:w="12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2300" w:type="dxa"/>
            <w:vAlign w:val="bottom"/>
            <w:tcBorders>
              <w:top w:val="single" w:sz="8" w:color="0563C1"/>
            </w:tcBorders>
            <w:gridSpan w:val="7"/>
          </w:tcPr>
          <w:p>
            <w:pPr>
              <w:spacing w:after="0" w:line="182" w:lineRule="exact"/>
              <w:rPr>
                <w:rFonts w:ascii="Arial" w:cs="Arial" w:eastAsia="Arial" w:hAnsi="Arial"/>
                <w:sz w:val="18"/>
                <w:szCs w:val="18"/>
                <w:color w:val="0563C1"/>
                <w:w w:val="88"/>
              </w:rPr>
            </w:pPr>
            <w:hyperlink r:id="rId315">
              <w:r>
                <w:rPr>
                  <w:rFonts w:ascii="Arial" w:cs="Arial" w:eastAsia="Arial" w:hAnsi="Arial"/>
                  <w:sz w:val="18"/>
                  <w:szCs w:val="18"/>
                  <w:color w:val="0563C1"/>
                  <w:w w:val="88"/>
                </w:rPr>
                <w:t>Form of Restricted Stock Award</w:t>
              </w:r>
            </w:hyperlink>
          </w:p>
        </w:tc>
        <w:tc>
          <w:tcPr>
            <w:tcW w:w="3100" w:type="dxa"/>
            <w:vAlign w:val="bottom"/>
            <w:gridSpan w:val="33"/>
          </w:tcPr>
          <w:p>
            <w:pPr>
              <w:ind w:left="80"/>
              <w:spacing w:after="0" w:line="182" w:lineRule="exact"/>
              <w:rPr>
                <w:rFonts w:ascii="Arial" w:cs="Arial" w:eastAsia="Arial" w:hAnsi="Arial"/>
                <w:sz w:val="18"/>
                <w:szCs w:val="18"/>
                <w:color w:val="0563C1"/>
              </w:rPr>
            </w:pPr>
            <w:hyperlink r:id="rId315">
              <w:r>
                <w:rPr>
                  <w:rFonts w:ascii="Arial" w:cs="Arial" w:eastAsia="Arial" w:hAnsi="Arial"/>
                  <w:sz w:val="18"/>
                  <w:szCs w:val="18"/>
                  <w:color w:val="0563C1"/>
                </w:rPr>
                <w:t>Agreement under the 2020 Incentive</w:t>
              </w:r>
            </w:hyperlink>
          </w:p>
        </w:tc>
        <w:tc>
          <w:tcPr>
            <w:tcW w:w="820" w:type="dxa"/>
            <w:vAlign w:val="bottom"/>
            <w:vMerge w:val="restart"/>
          </w:tcPr>
          <w:p>
            <w:pPr>
              <w:jc w:val="center"/>
              <w:ind w:left="71"/>
              <w:spacing w:after="0"/>
              <w:rPr>
                <w:sz w:val="20"/>
                <w:szCs w:val="20"/>
                <w:color w:val="auto"/>
              </w:rPr>
            </w:pPr>
            <w:r>
              <w:rPr>
                <w:rFonts w:ascii="Arial" w:cs="Arial" w:eastAsia="Arial" w:hAnsi="Arial"/>
                <w:sz w:val="18"/>
                <w:szCs w:val="18"/>
                <w:color w:val="auto"/>
                <w:w w:val="93"/>
              </w:rPr>
              <w:t>S-1/A</w:t>
            </w:r>
          </w:p>
        </w:tc>
        <w:tc>
          <w:tcPr>
            <w:tcW w:w="1800" w:type="dxa"/>
            <w:vAlign w:val="bottom"/>
            <w:vMerge w:val="restart"/>
          </w:tcPr>
          <w:p>
            <w:pPr>
              <w:jc w:val="center"/>
              <w:ind w:right="11"/>
              <w:spacing w:after="0"/>
              <w:rPr>
                <w:sz w:val="20"/>
                <w:szCs w:val="20"/>
                <w:color w:val="auto"/>
              </w:rPr>
            </w:pPr>
            <w:r>
              <w:rPr>
                <w:rFonts w:ascii="Arial" w:cs="Arial" w:eastAsia="Arial" w:hAnsi="Arial"/>
                <w:sz w:val="18"/>
                <w:szCs w:val="18"/>
                <w:color w:val="auto"/>
                <w:w w:val="92"/>
              </w:rPr>
              <w:t>10/9/2020</w:t>
            </w:r>
          </w:p>
        </w:tc>
        <w:tc>
          <w:tcPr>
            <w:tcW w:w="860" w:type="dxa"/>
            <w:vAlign w:val="bottom"/>
            <w:vMerge w:val="restart"/>
          </w:tcPr>
          <w:p>
            <w:pPr>
              <w:jc w:val="center"/>
              <w:ind w:right="171"/>
              <w:spacing w:after="0"/>
              <w:rPr>
                <w:sz w:val="20"/>
                <w:szCs w:val="20"/>
                <w:color w:val="auto"/>
              </w:rPr>
            </w:pPr>
            <w:r>
              <w:rPr>
                <w:rFonts w:ascii="Arial" w:cs="Arial" w:eastAsia="Arial" w:hAnsi="Arial"/>
                <w:sz w:val="18"/>
                <w:szCs w:val="18"/>
                <w:color w:val="auto"/>
                <w:w w:val="92"/>
              </w:rPr>
              <w:t>10.6(c)</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10.6(d)#</w:t>
            </w:r>
          </w:p>
        </w:tc>
        <w:tc>
          <w:tcPr>
            <w:tcW w:w="5060" w:type="dxa"/>
            <w:vAlign w:val="bottom"/>
            <w:tcBorders>
              <w:top w:val="single" w:sz="8" w:color="0563C1"/>
            </w:tcBorders>
            <w:gridSpan w:val="31"/>
          </w:tcPr>
          <w:p>
            <w:pPr>
              <w:spacing w:after="0" w:line="156" w:lineRule="exact"/>
              <w:rPr>
                <w:rFonts w:ascii="Arial" w:cs="Arial" w:eastAsia="Arial" w:hAnsi="Arial"/>
                <w:sz w:val="18"/>
                <w:szCs w:val="18"/>
                <w:color w:val="0563C1"/>
              </w:rPr>
            </w:pPr>
            <w:hyperlink r:id="rId315">
              <w:r>
                <w:rPr>
                  <w:rFonts w:ascii="Arial" w:cs="Arial" w:eastAsia="Arial" w:hAnsi="Arial"/>
                  <w:sz w:val="18"/>
                  <w:szCs w:val="18"/>
                  <w:color w:val="0563C1"/>
                </w:rPr>
                <w:t>Award Plan.</w:t>
              </w:r>
            </w:hyperlink>
          </w:p>
        </w:tc>
        <w:tc>
          <w:tcPr>
            <w:tcW w:w="140" w:type="dxa"/>
            <w:vAlign w:val="bottom"/>
            <w:gridSpan w:val="2"/>
          </w:tcPr>
          <w:p>
            <w:pPr>
              <w:spacing w:after="0"/>
              <w:rPr>
                <w:sz w:val="13"/>
                <w:szCs w:val="13"/>
                <w:color w:val="auto"/>
              </w:rPr>
            </w:pPr>
          </w:p>
        </w:tc>
        <w:tc>
          <w:tcPr>
            <w:tcW w:w="140" w:type="dxa"/>
            <w:vAlign w:val="bottom"/>
            <w:gridSpan w:val="6"/>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5400" w:type="dxa"/>
            <w:vAlign w:val="bottom"/>
            <w:gridSpan w:val="40"/>
          </w:tcPr>
          <w:p>
            <w:pPr>
              <w:spacing w:after="0" w:line="182" w:lineRule="exact"/>
              <w:rPr>
                <w:rFonts w:ascii="Arial" w:cs="Arial" w:eastAsia="Arial" w:hAnsi="Arial"/>
                <w:sz w:val="18"/>
                <w:szCs w:val="18"/>
                <w:color w:val="0563C1"/>
              </w:rPr>
            </w:pPr>
            <w:hyperlink r:id="rId316">
              <w:r>
                <w:rPr>
                  <w:rFonts w:ascii="Arial" w:cs="Arial" w:eastAsia="Arial" w:hAnsi="Arial"/>
                  <w:sz w:val="18"/>
                  <w:szCs w:val="18"/>
                  <w:color w:val="0563C1"/>
                </w:rPr>
                <w:t>Form of Restricted Stock Unit Award Grant Notice under the 2020</w:t>
              </w:r>
            </w:hyperlink>
          </w:p>
        </w:tc>
        <w:tc>
          <w:tcPr>
            <w:tcW w:w="820" w:type="dxa"/>
            <w:vAlign w:val="bottom"/>
            <w:vMerge w:val="restart"/>
          </w:tcPr>
          <w:p>
            <w:pPr>
              <w:jc w:val="center"/>
              <w:ind w:left="71"/>
              <w:spacing w:after="0"/>
              <w:rPr>
                <w:sz w:val="20"/>
                <w:szCs w:val="20"/>
                <w:color w:val="auto"/>
              </w:rPr>
            </w:pPr>
            <w:r>
              <w:rPr>
                <w:rFonts w:ascii="Arial" w:cs="Arial" w:eastAsia="Arial" w:hAnsi="Arial"/>
                <w:sz w:val="18"/>
                <w:szCs w:val="18"/>
                <w:color w:val="auto"/>
                <w:w w:val="93"/>
              </w:rPr>
              <w:t>S-1/A</w:t>
            </w:r>
          </w:p>
        </w:tc>
        <w:tc>
          <w:tcPr>
            <w:tcW w:w="1800" w:type="dxa"/>
            <w:vAlign w:val="bottom"/>
            <w:vMerge w:val="restart"/>
          </w:tcPr>
          <w:p>
            <w:pPr>
              <w:jc w:val="center"/>
              <w:ind w:right="11"/>
              <w:spacing w:after="0"/>
              <w:rPr>
                <w:sz w:val="20"/>
                <w:szCs w:val="20"/>
                <w:color w:val="auto"/>
              </w:rPr>
            </w:pPr>
            <w:r>
              <w:rPr>
                <w:rFonts w:ascii="Arial" w:cs="Arial" w:eastAsia="Arial" w:hAnsi="Arial"/>
                <w:sz w:val="18"/>
                <w:szCs w:val="18"/>
                <w:color w:val="auto"/>
                <w:w w:val="92"/>
              </w:rPr>
              <w:t>10/9/2020</w:t>
            </w:r>
          </w:p>
        </w:tc>
        <w:tc>
          <w:tcPr>
            <w:tcW w:w="860" w:type="dxa"/>
            <w:vAlign w:val="bottom"/>
            <w:vMerge w:val="restart"/>
          </w:tcPr>
          <w:p>
            <w:pPr>
              <w:jc w:val="center"/>
              <w:ind w:right="171"/>
              <w:spacing w:after="0"/>
              <w:rPr>
                <w:sz w:val="20"/>
                <w:szCs w:val="20"/>
                <w:color w:val="auto"/>
              </w:rPr>
            </w:pPr>
            <w:r>
              <w:rPr>
                <w:rFonts w:ascii="Arial" w:cs="Arial" w:eastAsia="Arial" w:hAnsi="Arial"/>
                <w:sz w:val="18"/>
                <w:szCs w:val="18"/>
                <w:color w:val="auto"/>
                <w:w w:val="91"/>
              </w:rPr>
              <w:t>10.6(d)</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4840" w:type="dxa"/>
            <w:vAlign w:val="bottom"/>
            <w:tcBorders>
              <w:top w:val="single" w:sz="8" w:color="0563C1"/>
            </w:tcBorders>
            <w:gridSpan w:val="28"/>
          </w:tcPr>
          <w:p>
            <w:pPr>
              <w:spacing w:after="0" w:line="156" w:lineRule="exact"/>
              <w:rPr>
                <w:rFonts w:ascii="Arial" w:cs="Arial" w:eastAsia="Arial" w:hAnsi="Arial"/>
                <w:sz w:val="18"/>
                <w:szCs w:val="18"/>
                <w:color w:val="0563C1"/>
              </w:rPr>
            </w:pPr>
            <w:hyperlink r:id="rId316">
              <w:r>
                <w:rPr>
                  <w:rFonts w:ascii="Arial" w:cs="Arial" w:eastAsia="Arial" w:hAnsi="Arial"/>
                  <w:sz w:val="18"/>
                  <w:szCs w:val="18"/>
                  <w:color w:val="0563C1"/>
                </w:rPr>
                <w:t>Incentive Award Plan.</w:t>
              </w:r>
            </w:hyperlink>
          </w:p>
        </w:tc>
        <w:tc>
          <w:tcPr>
            <w:tcW w:w="360" w:type="dxa"/>
            <w:vAlign w:val="bottom"/>
            <w:gridSpan w:val="5"/>
          </w:tcPr>
          <w:p>
            <w:pPr>
              <w:spacing w:after="0"/>
              <w:rPr>
                <w:sz w:val="13"/>
                <w:szCs w:val="13"/>
                <w:color w:val="auto"/>
              </w:rPr>
            </w:pPr>
          </w:p>
        </w:tc>
        <w:tc>
          <w:tcPr>
            <w:tcW w:w="140" w:type="dxa"/>
            <w:vAlign w:val="bottom"/>
            <w:gridSpan w:val="6"/>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10.7#</w:t>
            </w:r>
          </w:p>
        </w:tc>
        <w:tc>
          <w:tcPr>
            <w:tcW w:w="1600" w:type="dxa"/>
            <w:vAlign w:val="bottom"/>
            <w:tcBorders>
              <w:top w:val="single" w:sz="8" w:color="0563C1"/>
            </w:tcBorders>
            <w:gridSpan w:val="4"/>
          </w:tcPr>
          <w:p>
            <w:pPr>
              <w:spacing w:after="0" w:line="182" w:lineRule="exact"/>
              <w:rPr>
                <w:rFonts w:ascii="Arial" w:cs="Arial" w:eastAsia="Arial" w:hAnsi="Arial"/>
                <w:sz w:val="18"/>
                <w:szCs w:val="18"/>
                <w:color w:val="0563C1"/>
                <w:w w:val="90"/>
              </w:rPr>
            </w:pPr>
            <w:hyperlink r:id="rId317">
              <w:r>
                <w:rPr>
                  <w:rFonts w:ascii="Arial" w:cs="Arial" w:eastAsia="Arial" w:hAnsi="Arial"/>
                  <w:sz w:val="18"/>
                  <w:szCs w:val="18"/>
                  <w:color w:val="0563C1"/>
                  <w:w w:val="90"/>
                </w:rPr>
                <w:t>2020 Employee Stock</w:t>
              </w:r>
            </w:hyperlink>
          </w:p>
        </w:tc>
        <w:tc>
          <w:tcPr>
            <w:tcW w:w="3800" w:type="dxa"/>
            <w:vAlign w:val="bottom"/>
            <w:gridSpan w:val="36"/>
          </w:tcPr>
          <w:p>
            <w:pPr>
              <w:ind w:left="40"/>
              <w:spacing w:after="0" w:line="182" w:lineRule="exact"/>
              <w:rPr>
                <w:rFonts w:ascii="Arial" w:cs="Arial" w:eastAsia="Arial" w:hAnsi="Arial"/>
                <w:sz w:val="18"/>
                <w:szCs w:val="18"/>
                <w:color w:val="0563C1"/>
              </w:rPr>
            </w:pPr>
            <w:hyperlink r:id="rId317">
              <w:r>
                <w:rPr>
                  <w:rFonts w:ascii="Arial" w:cs="Arial" w:eastAsia="Arial" w:hAnsi="Arial"/>
                  <w:sz w:val="18"/>
                  <w:szCs w:val="18"/>
                  <w:color w:val="0563C1"/>
                </w:rPr>
                <w:t>Purchase Plan.</w:t>
              </w:r>
            </w:hyperlink>
          </w:p>
        </w:tc>
        <w:tc>
          <w:tcPr>
            <w:tcW w:w="820" w:type="dxa"/>
            <w:vAlign w:val="bottom"/>
          </w:tcPr>
          <w:p>
            <w:pPr>
              <w:jc w:val="center"/>
              <w:ind w:left="71"/>
              <w:spacing w:after="0" w:line="182" w:lineRule="exact"/>
              <w:rPr>
                <w:sz w:val="20"/>
                <w:szCs w:val="20"/>
                <w:color w:val="auto"/>
              </w:rPr>
            </w:pPr>
            <w:r>
              <w:rPr>
                <w:rFonts w:ascii="Arial" w:cs="Arial" w:eastAsia="Arial" w:hAnsi="Arial"/>
                <w:sz w:val="18"/>
                <w:szCs w:val="18"/>
                <w:color w:val="auto"/>
                <w:w w:val="93"/>
              </w:rPr>
              <w:t>S-1/A</w:t>
            </w:r>
          </w:p>
        </w:tc>
        <w:tc>
          <w:tcPr>
            <w:tcW w:w="1800" w:type="dxa"/>
            <w:vAlign w:val="bottom"/>
          </w:tcPr>
          <w:p>
            <w:pPr>
              <w:jc w:val="center"/>
              <w:ind w:right="11"/>
              <w:spacing w:after="0" w:line="182" w:lineRule="exact"/>
              <w:rPr>
                <w:sz w:val="20"/>
                <w:szCs w:val="20"/>
                <w:color w:val="auto"/>
              </w:rPr>
            </w:pPr>
            <w:r>
              <w:rPr>
                <w:rFonts w:ascii="Arial" w:cs="Arial" w:eastAsia="Arial" w:hAnsi="Arial"/>
                <w:sz w:val="18"/>
                <w:szCs w:val="18"/>
                <w:color w:val="auto"/>
                <w:w w:val="92"/>
              </w:rPr>
              <w:t>10/9/2020</w:t>
            </w:r>
          </w:p>
        </w:tc>
        <w:tc>
          <w:tcPr>
            <w:tcW w:w="860" w:type="dxa"/>
            <w:vAlign w:val="bottom"/>
          </w:tcPr>
          <w:p>
            <w:pPr>
              <w:jc w:val="center"/>
              <w:ind w:right="171"/>
              <w:spacing w:after="0" w:line="182" w:lineRule="exact"/>
              <w:rPr>
                <w:sz w:val="20"/>
                <w:szCs w:val="20"/>
                <w:color w:val="auto"/>
              </w:rPr>
            </w:pPr>
            <w:r>
              <w:rPr>
                <w:rFonts w:ascii="Arial" w:cs="Arial" w:eastAsia="Arial" w:hAnsi="Arial"/>
                <w:sz w:val="18"/>
                <w:szCs w:val="18"/>
                <w:color w:val="auto"/>
                <w:w w:val="91"/>
              </w:rPr>
              <w:t>10.7</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10.8#</w:t>
            </w:r>
          </w:p>
        </w:tc>
        <w:tc>
          <w:tcPr>
            <w:tcW w:w="2700" w:type="dxa"/>
            <w:vAlign w:val="bottom"/>
            <w:tcBorders>
              <w:top w:val="single" w:sz="8" w:color="0563C1"/>
            </w:tcBorders>
            <w:gridSpan w:val="10"/>
          </w:tcPr>
          <w:p>
            <w:pPr>
              <w:spacing w:after="0" w:line="182" w:lineRule="exact"/>
              <w:rPr>
                <w:rFonts w:ascii="Arial" w:cs="Arial" w:eastAsia="Arial" w:hAnsi="Arial"/>
                <w:sz w:val="18"/>
                <w:szCs w:val="18"/>
                <w:color w:val="0563C1"/>
                <w:w w:val="94"/>
              </w:rPr>
            </w:pPr>
            <w:hyperlink r:id="rId318">
              <w:r>
                <w:rPr>
                  <w:rFonts w:ascii="Arial" w:cs="Arial" w:eastAsia="Arial" w:hAnsi="Arial"/>
                  <w:sz w:val="18"/>
                  <w:szCs w:val="18"/>
                  <w:color w:val="0563C1"/>
                  <w:w w:val="94"/>
                </w:rPr>
                <w:t>Confirmatory Employment Letter by</w:t>
              </w:r>
            </w:hyperlink>
          </w:p>
        </w:tc>
        <w:tc>
          <w:tcPr>
            <w:tcW w:w="2700" w:type="dxa"/>
            <w:vAlign w:val="bottom"/>
            <w:gridSpan w:val="30"/>
          </w:tcPr>
          <w:p>
            <w:pPr>
              <w:jc w:val="right"/>
              <w:ind w:right="260"/>
              <w:spacing w:after="0" w:line="182" w:lineRule="exact"/>
              <w:rPr>
                <w:rFonts w:ascii="Arial" w:cs="Arial" w:eastAsia="Arial" w:hAnsi="Arial"/>
                <w:sz w:val="18"/>
                <w:szCs w:val="18"/>
                <w:color w:val="0563C1"/>
                <w:w w:val="89"/>
              </w:rPr>
            </w:pPr>
            <w:hyperlink r:id="rId318">
              <w:r>
                <w:rPr>
                  <w:rFonts w:ascii="Arial" w:cs="Arial" w:eastAsia="Arial" w:hAnsi="Arial"/>
                  <w:sz w:val="18"/>
                  <w:szCs w:val="18"/>
                  <w:color w:val="0563C1"/>
                  <w:w w:val="89"/>
                </w:rPr>
                <w:t>and between Aligos Therapeutics,</w:t>
              </w:r>
            </w:hyperlink>
          </w:p>
        </w:tc>
        <w:tc>
          <w:tcPr>
            <w:tcW w:w="820" w:type="dxa"/>
            <w:vAlign w:val="bottom"/>
            <w:vMerge w:val="restart"/>
          </w:tcPr>
          <w:p>
            <w:pPr>
              <w:jc w:val="center"/>
              <w:ind w:left="71"/>
              <w:spacing w:after="0"/>
              <w:rPr>
                <w:sz w:val="20"/>
                <w:szCs w:val="20"/>
                <w:color w:val="auto"/>
              </w:rPr>
            </w:pPr>
            <w:r>
              <w:rPr>
                <w:rFonts w:ascii="Arial" w:cs="Arial" w:eastAsia="Arial" w:hAnsi="Arial"/>
                <w:sz w:val="18"/>
                <w:szCs w:val="18"/>
                <w:color w:val="auto"/>
                <w:w w:val="93"/>
              </w:rPr>
              <w:t>S-1/A</w:t>
            </w:r>
          </w:p>
        </w:tc>
        <w:tc>
          <w:tcPr>
            <w:tcW w:w="1800" w:type="dxa"/>
            <w:vAlign w:val="bottom"/>
            <w:vMerge w:val="restart"/>
          </w:tcPr>
          <w:p>
            <w:pPr>
              <w:jc w:val="center"/>
              <w:ind w:right="11"/>
              <w:spacing w:after="0"/>
              <w:rPr>
                <w:sz w:val="20"/>
                <w:szCs w:val="20"/>
                <w:color w:val="auto"/>
              </w:rPr>
            </w:pPr>
            <w:r>
              <w:rPr>
                <w:rFonts w:ascii="Arial" w:cs="Arial" w:eastAsia="Arial" w:hAnsi="Arial"/>
                <w:sz w:val="18"/>
                <w:szCs w:val="18"/>
                <w:color w:val="auto"/>
                <w:w w:val="92"/>
              </w:rPr>
              <w:t>10/9/2020</w:t>
            </w:r>
          </w:p>
        </w:tc>
        <w:tc>
          <w:tcPr>
            <w:tcW w:w="860" w:type="dxa"/>
            <w:vAlign w:val="bottom"/>
            <w:vMerge w:val="restart"/>
          </w:tcPr>
          <w:p>
            <w:pPr>
              <w:jc w:val="center"/>
              <w:ind w:right="171"/>
              <w:spacing w:after="0"/>
              <w:rPr>
                <w:sz w:val="20"/>
                <w:szCs w:val="20"/>
                <w:color w:val="auto"/>
              </w:rPr>
            </w:pPr>
            <w:r>
              <w:rPr>
                <w:rFonts w:ascii="Arial" w:cs="Arial" w:eastAsia="Arial" w:hAnsi="Arial"/>
                <w:sz w:val="18"/>
                <w:szCs w:val="18"/>
                <w:color w:val="auto"/>
                <w:w w:val="88"/>
              </w:rPr>
              <w:t>10.10</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5200" w:type="dxa"/>
            <w:vAlign w:val="bottom"/>
            <w:tcBorders>
              <w:top w:val="single" w:sz="8" w:color="0563C1"/>
            </w:tcBorders>
            <w:gridSpan w:val="33"/>
          </w:tcPr>
          <w:p>
            <w:pPr>
              <w:spacing w:after="0" w:line="156" w:lineRule="exact"/>
              <w:rPr>
                <w:rFonts w:ascii="Arial" w:cs="Arial" w:eastAsia="Arial" w:hAnsi="Arial"/>
                <w:sz w:val="18"/>
                <w:szCs w:val="18"/>
                <w:color w:val="0563C1"/>
              </w:rPr>
            </w:pPr>
            <w:hyperlink r:id="rId318">
              <w:r>
                <w:rPr>
                  <w:rFonts w:ascii="Arial" w:cs="Arial" w:eastAsia="Arial" w:hAnsi="Arial"/>
                  <w:sz w:val="18"/>
                  <w:szCs w:val="18"/>
                  <w:color w:val="0563C1"/>
                </w:rPr>
                <w:t>Inc. and Lucinda Quan, J.D., dated May 14, 2019.</w:t>
              </w:r>
            </w:hyperlink>
          </w:p>
        </w:tc>
        <w:tc>
          <w:tcPr>
            <w:tcW w:w="140" w:type="dxa"/>
            <w:vAlign w:val="bottom"/>
            <w:gridSpan w:val="6"/>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10.9#</w:t>
            </w:r>
          </w:p>
        </w:tc>
        <w:tc>
          <w:tcPr>
            <w:tcW w:w="3600" w:type="dxa"/>
            <w:vAlign w:val="bottom"/>
            <w:tcBorders>
              <w:top w:val="single" w:sz="8" w:color="0563C1"/>
            </w:tcBorders>
            <w:gridSpan w:val="18"/>
          </w:tcPr>
          <w:p>
            <w:pPr>
              <w:spacing w:after="0" w:line="182" w:lineRule="exact"/>
              <w:rPr>
                <w:rFonts w:ascii="Arial" w:cs="Arial" w:eastAsia="Arial" w:hAnsi="Arial"/>
                <w:sz w:val="18"/>
                <w:szCs w:val="18"/>
                <w:color w:val="0563C1"/>
                <w:w w:val="92"/>
              </w:rPr>
            </w:pPr>
            <w:hyperlink r:id="rId319">
              <w:r>
                <w:rPr>
                  <w:rFonts w:ascii="Arial" w:cs="Arial" w:eastAsia="Arial" w:hAnsi="Arial"/>
                  <w:sz w:val="18"/>
                  <w:szCs w:val="18"/>
                  <w:color w:val="0563C1"/>
                  <w:w w:val="92"/>
                </w:rPr>
                <w:t>Non-Employee Director Compensation Program.</w:t>
              </w:r>
            </w:hyperlink>
          </w:p>
        </w:tc>
        <w:tc>
          <w:tcPr>
            <w:tcW w:w="900" w:type="dxa"/>
            <w:vAlign w:val="bottom"/>
            <w:gridSpan w:val="5"/>
          </w:tcPr>
          <w:p>
            <w:pPr>
              <w:spacing w:after="0"/>
              <w:rPr>
                <w:sz w:val="15"/>
                <w:szCs w:val="15"/>
                <w:color w:val="auto"/>
              </w:rPr>
            </w:pPr>
          </w:p>
        </w:tc>
        <w:tc>
          <w:tcPr>
            <w:tcW w:w="80" w:type="dxa"/>
            <w:vAlign w:val="bottom"/>
            <w:gridSpan w:val="2"/>
          </w:tcPr>
          <w:p>
            <w:pPr>
              <w:spacing w:after="0"/>
              <w:rPr>
                <w:sz w:val="15"/>
                <w:szCs w:val="15"/>
                <w:color w:val="auto"/>
              </w:rPr>
            </w:pPr>
          </w:p>
        </w:tc>
        <w:tc>
          <w:tcPr>
            <w:tcW w:w="760" w:type="dxa"/>
            <w:vAlign w:val="bottom"/>
            <w:gridSpan w:val="14"/>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center"/>
              <w:ind w:left="71"/>
              <w:spacing w:after="0" w:line="182" w:lineRule="exact"/>
              <w:rPr>
                <w:sz w:val="20"/>
                <w:szCs w:val="20"/>
                <w:color w:val="auto"/>
              </w:rPr>
            </w:pPr>
            <w:r>
              <w:rPr>
                <w:rFonts w:ascii="Arial" w:cs="Arial" w:eastAsia="Arial" w:hAnsi="Arial"/>
                <w:sz w:val="18"/>
                <w:szCs w:val="18"/>
                <w:color w:val="auto"/>
                <w:w w:val="93"/>
              </w:rPr>
              <w:t>S-1/A</w:t>
            </w:r>
          </w:p>
        </w:tc>
        <w:tc>
          <w:tcPr>
            <w:tcW w:w="1800" w:type="dxa"/>
            <w:vAlign w:val="bottom"/>
          </w:tcPr>
          <w:p>
            <w:pPr>
              <w:jc w:val="center"/>
              <w:ind w:right="11"/>
              <w:spacing w:after="0" w:line="182" w:lineRule="exact"/>
              <w:rPr>
                <w:sz w:val="20"/>
                <w:szCs w:val="20"/>
                <w:color w:val="auto"/>
              </w:rPr>
            </w:pPr>
            <w:r>
              <w:rPr>
                <w:rFonts w:ascii="Arial" w:cs="Arial" w:eastAsia="Arial" w:hAnsi="Arial"/>
                <w:sz w:val="18"/>
                <w:szCs w:val="18"/>
                <w:color w:val="auto"/>
                <w:w w:val="92"/>
              </w:rPr>
              <w:t>10/9/2020</w:t>
            </w:r>
          </w:p>
        </w:tc>
        <w:tc>
          <w:tcPr>
            <w:tcW w:w="860" w:type="dxa"/>
            <w:vAlign w:val="bottom"/>
          </w:tcPr>
          <w:p>
            <w:pPr>
              <w:jc w:val="center"/>
              <w:ind w:right="171"/>
              <w:spacing w:after="0" w:line="182" w:lineRule="exact"/>
              <w:rPr>
                <w:sz w:val="20"/>
                <w:szCs w:val="20"/>
                <w:color w:val="auto"/>
              </w:rPr>
            </w:pPr>
            <w:r>
              <w:rPr>
                <w:rFonts w:ascii="Arial" w:cs="Arial" w:eastAsia="Arial" w:hAnsi="Arial"/>
                <w:sz w:val="18"/>
                <w:szCs w:val="18"/>
                <w:color w:val="auto"/>
                <w:w w:val="88"/>
              </w:rPr>
              <w:t>10.11</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10.10</w:t>
            </w:r>
          </w:p>
        </w:tc>
        <w:tc>
          <w:tcPr>
            <w:tcW w:w="3540" w:type="dxa"/>
            <w:vAlign w:val="bottom"/>
            <w:tcBorders>
              <w:top w:val="single" w:sz="8" w:color="0563C1"/>
              <w:bottom w:val="single" w:sz="8" w:color="0563C1"/>
            </w:tcBorders>
            <w:gridSpan w:val="17"/>
          </w:tcPr>
          <w:p>
            <w:pPr>
              <w:spacing w:after="0" w:line="182" w:lineRule="exact"/>
              <w:rPr>
                <w:rFonts w:ascii="Arial" w:cs="Arial" w:eastAsia="Arial" w:hAnsi="Arial"/>
                <w:sz w:val="18"/>
                <w:szCs w:val="18"/>
                <w:color w:val="0563C1"/>
                <w:w w:val="92"/>
              </w:rPr>
            </w:pPr>
            <w:hyperlink r:id="rId320">
              <w:r>
                <w:rPr>
                  <w:rFonts w:ascii="Arial" w:cs="Arial" w:eastAsia="Arial" w:hAnsi="Arial"/>
                  <w:sz w:val="18"/>
                  <w:szCs w:val="18"/>
                  <w:color w:val="0563C1"/>
                  <w:w w:val="92"/>
                </w:rPr>
                <w:t>Form of Indemnification Agreement for directors</w:t>
              </w:r>
            </w:hyperlink>
          </w:p>
        </w:tc>
        <w:tc>
          <w:tcPr>
            <w:tcW w:w="960" w:type="dxa"/>
            <w:vAlign w:val="bottom"/>
            <w:tcBorders>
              <w:bottom w:val="single" w:sz="8" w:color="0563C1"/>
            </w:tcBorders>
            <w:gridSpan w:val="6"/>
          </w:tcPr>
          <w:p>
            <w:pPr>
              <w:jc w:val="center"/>
              <w:spacing w:after="0" w:line="182" w:lineRule="exact"/>
              <w:rPr>
                <w:rFonts w:ascii="Arial" w:cs="Arial" w:eastAsia="Arial" w:hAnsi="Arial"/>
                <w:sz w:val="18"/>
                <w:szCs w:val="18"/>
                <w:color w:val="0563C1"/>
                <w:w w:val="91"/>
              </w:rPr>
            </w:pPr>
            <w:hyperlink r:id="rId320">
              <w:r>
                <w:rPr>
                  <w:rFonts w:ascii="Arial" w:cs="Arial" w:eastAsia="Arial" w:hAnsi="Arial"/>
                  <w:sz w:val="18"/>
                  <w:szCs w:val="18"/>
                  <w:color w:val="0563C1"/>
                  <w:w w:val="91"/>
                </w:rPr>
                <w:t>and officers.</w:t>
              </w:r>
            </w:hyperlink>
          </w:p>
        </w:tc>
        <w:tc>
          <w:tcPr>
            <w:tcW w:w="900" w:type="dxa"/>
            <w:vAlign w:val="bottom"/>
            <w:gridSpan w:val="17"/>
          </w:tcPr>
          <w:p>
            <w:pPr>
              <w:spacing w:after="0"/>
              <w:rPr>
                <w:sz w:val="15"/>
                <w:szCs w:val="15"/>
                <w:color w:val="auto"/>
              </w:rPr>
            </w:pPr>
          </w:p>
        </w:tc>
        <w:tc>
          <w:tcPr>
            <w:tcW w:w="820" w:type="dxa"/>
            <w:vAlign w:val="bottom"/>
          </w:tcPr>
          <w:p>
            <w:pPr>
              <w:jc w:val="center"/>
              <w:ind w:left="71"/>
              <w:spacing w:after="0" w:line="182" w:lineRule="exact"/>
              <w:rPr>
                <w:sz w:val="20"/>
                <w:szCs w:val="20"/>
                <w:color w:val="auto"/>
              </w:rPr>
            </w:pPr>
            <w:r>
              <w:rPr>
                <w:rFonts w:ascii="Arial" w:cs="Arial" w:eastAsia="Arial" w:hAnsi="Arial"/>
                <w:sz w:val="18"/>
                <w:szCs w:val="18"/>
                <w:color w:val="auto"/>
                <w:w w:val="93"/>
              </w:rPr>
              <w:t>S-1/A</w:t>
            </w:r>
          </w:p>
        </w:tc>
        <w:tc>
          <w:tcPr>
            <w:tcW w:w="1800" w:type="dxa"/>
            <w:vAlign w:val="bottom"/>
          </w:tcPr>
          <w:p>
            <w:pPr>
              <w:jc w:val="center"/>
              <w:ind w:right="11"/>
              <w:spacing w:after="0" w:line="182" w:lineRule="exact"/>
              <w:rPr>
                <w:sz w:val="20"/>
                <w:szCs w:val="20"/>
                <w:color w:val="auto"/>
              </w:rPr>
            </w:pPr>
            <w:r>
              <w:rPr>
                <w:rFonts w:ascii="Arial" w:cs="Arial" w:eastAsia="Arial" w:hAnsi="Arial"/>
                <w:sz w:val="18"/>
                <w:szCs w:val="18"/>
                <w:color w:val="auto"/>
                <w:w w:val="92"/>
              </w:rPr>
              <w:t>10/9/2020</w:t>
            </w:r>
          </w:p>
        </w:tc>
        <w:tc>
          <w:tcPr>
            <w:tcW w:w="860" w:type="dxa"/>
            <w:vAlign w:val="bottom"/>
          </w:tcPr>
          <w:p>
            <w:pPr>
              <w:jc w:val="center"/>
              <w:ind w:right="171"/>
              <w:spacing w:after="0" w:line="182" w:lineRule="exact"/>
              <w:rPr>
                <w:sz w:val="20"/>
                <w:szCs w:val="20"/>
                <w:color w:val="auto"/>
              </w:rPr>
            </w:pPr>
            <w:r>
              <w:rPr>
                <w:rFonts w:ascii="Arial" w:cs="Arial" w:eastAsia="Arial" w:hAnsi="Arial"/>
                <w:sz w:val="18"/>
                <w:szCs w:val="18"/>
                <w:color w:val="auto"/>
                <w:w w:val="88"/>
              </w:rPr>
              <w:t>10.12</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10.11#</w:t>
            </w:r>
          </w:p>
        </w:tc>
        <w:tc>
          <w:tcPr>
            <w:tcW w:w="5400" w:type="dxa"/>
            <w:vAlign w:val="bottom"/>
            <w:gridSpan w:val="40"/>
          </w:tcPr>
          <w:p>
            <w:pPr>
              <w:spacing w:after="0" w:line="182" w:lineRule="exact"/>
              <w:rPr>
                <w:rFonts w:ascii="Arial" w:cs="Arial" w:eastAsia="Arial" w:hAnsi="Arial"/>
                <w:sz w:val="18"/>
                <w:szCs w:val="18"/>
                <w:color w:val="0563C1"/>
                <w:w w:val="91"/>
              </w:rPr>
            </w:pPr>
            <w:hyperlink r:id="rId321">
              <w:r>
                <w:rPr>
                  <w:rFonts w:ascii="Arial" w:cs="Arial" w:eastAsia="Arial" w:hAnsi="Arial"/>
                  <w:sz w:val="18"/>
                  <w:szCs w:val="18"/>
                  <w:color w:val="0563C1"/>
                  <w:w w:val="91"/>
                </w:rPr>
                <w:t>Amended and Restated Employment Agreement, effective as of February</w:t>
              </w:r>
            </w:hyperlink>
          </w:p>
        </w:tc>
        <w:tc>
          <w:tcPr>
            <w:tcW w:w="820" w:type="dxa"/>
            <w:vAlign w:val="bottom"/>
            <w:vMerge w:val="restart"/>
          </w:tcPr>
          <w:p>
            <w:pPr>
              <w:jc w:val="center"/>
              <w:ind w:left="71"/>
              <w:spacing w:after="0"/>
              <w:rPr>
                <w:sz w:val="20"/>
                <w:szCs w:val="20"/>
                <w:color w:val="auto"/>
              </w:rPr>
            </w:pPr>
            <w:r>
              <w:rPr>
                <w:rFonts w:ascii="Arial" w:cs="Arial" w:eastAsia="Arial" w:hAnsi="Arial"/>
                <w:sz w:val="18"/>
                <w:szCs w:val="18"/>
                <w:color w:val="auto"/>
                <w:w w:val="94"/>
              </w:rPr>
              <w:t>10-Q</w:t>
            </w:r>
          </w:p>
        </w:tc>
        <w:tc>
          <w:tcPr>
            <w:tcW w:w="1800" w:type="dxa"/>
            <w:vAlign w:val="bottom"/>
            <w:vMerge w:val="restart"/>
          </w:tcPr>
          <w:p>
            <w:pPr>
              <w:jc w:val="right"/>
              <w:ind w:right="791"/>
              <w:spacing w:after="0"/>
              <w:rPr>
                <w:sz w:val="20"/>
                <w:szCs w:val="20"/>
                <w:color w:val="auto"/>
              </w:rPr>
            </w:pPr>
            <w:r>
              <w:rPr>
                <w:rFonts w:ascii="Arial" w:cs="Arial" w:eastAsia="Arial" w:hAnsi="Arial"/>
                <w:sz w:val="18"/>
                <w:szCs w:val="18"/>
                <w:color w:val="auto"/>
              </w:rPr>
              <w:t>5/10/2021</w:t>
            </w:r>
          </w:p>
        </w:tc>
        <w:tc>
          <w:tcPr>
            <w:tcW w:w="860" w:type="dxa"/>
            <w:vAlign w:val="bottom"/>
            <w:vMerge w:val="restart"/>
          </w:tcPr>
          <w:p>
            <w:pPr>
              <w:jc w:val="center"/>
              <w:ind w:right="171"/>
              <w:spacing w:after="0"/>
              <w:rPr>
                <w:sz w:val="20"/>
                <w:szCs w:val="20"/>
                <w:color w:val="auto"/>
              </w:rPr>
            </w:pPr>
            <w:r>
              <w:rPr>
                <w:rFonts w:ascii="Arial" w:cs="Arial" w:eastAsia="Arial" w:hAnsi="Arial"/>
                <w:sz w:val="18"/>
                <w:szCs w:val="18"/>
                <w:color w:val="auto"/>
                <w:w w:val="91"/>
              </w:rPr>
              <w:t>10.1</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5340" w:type="dxa"/>
            <w:vAlign w:val="bottom"/>
            <w:tcBorders>
              <w:top w:val="single" w:sz="8" w:color="0563C1"/>
            </w:tcBorders>
            <w:gridSpan w:val="39"/>
          </w:tcPr>
          <w:p>
            <w:pPr>
              <w:spacing w:after="0" w:line="156" w:lineRule="exact"/>
              <w:rPr>
                <w:rFonts w:ascii="Arial" w:cs="Arial" w:eastAsia="Arial" w:hAnsi="Arial"/>
                <w:sz w:val="18"/>
                <w:szCs w:val="18"/>
                <w:color w:val="0563C1"/>
              </w:rPr>
            </w:pPr>
            <w:hyperlink r:id="rId321">
              <w:r>
                <w:rPr>
                  <w:rFonts w:ascii="Arial" w:cs="Arial" w:eastAsia="Arial" w:hAnsi="Arial"/>
                  <w:sz w:val="18"/>
                  <w:szCs w:val="18"/>
                  <w:color w:val="0563C1"/>
                </w:rPr>
                <w:t>10, 2021, by and between the Company and Leonid Beigelman.</w:t>
              </w:r>
            </w:hyperlink>
          </w:p>
        </w:tc>
        <w:tc>
          <w:tcPr>
            <w:tcW w:w="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580" w:type="dxa"/>
            <w:vAlign w:val="bottom"/>
            <w:gridSpan w:val="25"/>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140" w:type="dxa"/>
            <w:vAlign w:val="bottom"/>
          </w:tcPr>
          <w:p>
            <w:pPr>
              <w:spacing w:after="0"/>
              <w:rPr>
                <w:sz w:val="24"/>
                <w:szCs w:val="24"/>
                <w:color w:val="auto"/>
              </w:rPr>
            </w:pPr>
          </w:p>
        </w:tc>
        <w:tc>
          <w:tcPr>
            <w:tcW w:w="4640" w:type="dxa"/>
            <w:vAlign w:val="bottom"/>
            <w:gridSpan w:val="26"/>
          </w:tcPr>
          <w:p>
            <w:pPr>
              <w:ind w:left="4340"/>
              <w:spacing w:after="0"/>
              <w:rPr>
                <w:sz w:val="20"/>
                <w:szCs w:val="20"/>
                <w:color w:val="auto"/>
              </w:rPr>
            </w:pPr>
            <w:r>
              <w:rPr>
                <w:rFonts w:ascii="Arial" w:cs="Arial" w:eastAsia="Arial" w:hAnsi="Arial"/>
                <w:sz w:val="18"/>
                <w:szCs w:val="18"/>
                <w:color w:val="auto"/>
                <w:w w:val="93"/>
              </w:rPr>
              <w:t>151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6" w:name="page157"/>
    <w:bookmarkEnd w:id="156"/>
    <w:tbl>
      <w:tblPr>
        <w:tblLayout w:type="fixed"/>
        <w:tblInd w:w="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10.12#</w:t>
            </w:r>
          </w:p>
        </w:tc>
        <w:tc>
          <w:tcPr>
            <w:tcW w:w="5360" w:type="dxa"/>
            <w:vAlign w:val="bottom"/>
            <w:gridSpan w:val="19"/>
          </w:tcPr>
          <w:p>
            <w:pPr>
              <w:spacing w:after="0"/>
              <w:rPr>
                <w:rFonts w:ascii="Arial" w:cs="Arial" w:eastAsia="Arial" w:hAnsi="Arial"/>
                <w:sz w:val="18"/>
                <w:szCs w:val="18"/>
                <w:color w:val="0563C1"/>
                <w:w w:val="91"/>
              </w:rPr>
            </w:pPr>
            <w:hyperlink r:id="rId324">
              <w:r>
                <w:rPr>
                  <w:rFonts w:ascii="Arial" w:cs="Arial" w:eastAsia="Arial" w:hAnsi="Arial"/>
                  <w:sz w:val="18"/>
                  <w:szCs w:val="18"/>
                  <w:color w:val="0563C1"/>
                  <w:w w:val="91"/>
                </w:rPr>
                <w:t>Amended and Restated Employment Agreement, effective as of February</w:t>
              </w:r>
            </w:hyperlink>
          </w:p>
        </w:tc>
        <w:tc>
          <w:tcPr>
            <w:tcW w:w="900" w:type="dxa"/>
            <w:vAlign w:val="bottom"/>
            <w:vMerge w:val="restart"/>
          </w:tcPr>
          <w:p>
            <w:pPr>
              <w:ind w:left="360"/>
              <w:spacing w:after="0"/>
              <w:rPr>
                <w:sz w:val="20"/>
                <w:szCs w:val="20"/>
                <w:color w:val="auto"/>
              </w:rPr>
            </w:pPr>
            <w:r>
              <w:rPr>
                <w:rFonts w:ascii="Arial" w:cs="Arial" w:eastAsia="Arial" w:hAnsi="Arial"/>
                <w:sz w:val="18"/>
                <w:szCs w:val="18"/>
                <w:color w:val="auto"/>
              </w:rPr>
              <w:t>10-Q</w:t>
            </w:r>
          </w:p>
        </w:tc>
        <w:tc>
          <w:tcPr>
            <w:tcW w:w="1540" w:type="dxa"/>
            <w:vAlign w:val="bottom"/>
            <w:vMerge w:val="restart"/>
          </w:tcPr>
          <w:p>
            <w:pPr>
              <w:jc w:val="right"/>
              <w:ind w:right="550"/>
              <w:spacing w:after="0"/>
              <w:rPr>
                <w:sz w:val="20"/>
                <w:szCs w:val="20"/>
                <w:color w:val="auto"/>
              </w:rPr>
            </w:pPr>
            <w:r>
              <w:rPr>
                <w:rFonts w:ascii="Arial" w:cs="Arial" w:eastAsia="Arial" w:hAnsi="Arial"/>
                <w:sz w:val="18"/>
                <w:szCs w:val="18"/>
                <w:color w:val="auto"/>
              </w:rPr>
              <w:t>5/10/2021</w:t>
            </w:r>
          </w:p>
        </w:tc>
        <w:tc>
          <w:tcPr>
            <w:tcW w:w="1760" w:type="dxa"/>
            <w:vAlign w:val="bottom"/>
            <w:vMerge w:val="restart"/>
          </w:tcPr>
          <w:p>
            <w:pPr>
              <w:ind w:left="38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55"/>
        </w:trPr>
        <w:tc>
          <w:tcPr>
            <w:tcW w:w="1140" w:type="dxa"/>
            <w:vAlign w:val="bottom"/>
            <w:vMerge w:val="restart"/>
          </w:tcPr>
          <w:p>
            <w:pPr>
              <w:spacing w:after="0"/>
              <w:rPr>
                <w:sz w:val="20"/>
                <w:szCs w:val="20"/>
                <w:color w:val="auto"/>
              </w:rPr>
            </w:pPr>
            <w:r>
              <w:rPr>
                <w:rFonts w:ascii="Arial" w:cs="Arial" w:eastAsia="Arial" w:hAnsi="Arial"/>
                <w:sz w:val="18"/>
                <w:szCs w:val="18"/>
                <w:color w:val="auto"/>
              </w:rPr>
              <w:t>10.13#</w:t>
            </w:r>
          </w:p>
        </w:tc>
        <w:tc>
          <w:tcPr>
            <w:tcW w:w="5340" w:type="dxa"/>
            <w:vAlign w:val="bottom"/>
            <w:tcBorders>
              <w:top w:val="single" w:sz="8" w:color="0563C1"/>
            </w:tcBorders>
            <w:gridSpan w:val="18"/>
          </w:tcPr>
          <w:p>
            <w:pPr>
              <w:spacing w:after="0" w:line="156" w:lineRule="exact"/>
              <w:rPr>
                <w:rFonts w:ascii="Arial" w:cs="Arial" w:eastAsia="Arial" w:hAnsi="Arial"/>
                <w:sz w:val="18"/>
                <w:szCs w:val="18"/>
                <w:color w:val="0563C1"/>
              </w:rPr>
            </w:pPr>
            <w:hyperlink r:id="rId324">
              <w:r>
                <w:rPr>
                  <w:rFonts w:ascii="Arial" w:cs="Arial" w:eastAsia="Arial" w:hAnsi="Arial"/>
                  <w:sz w:val="18"/>
                  <w:szCs w:val="18"/>
                  <w:color w:val="0563C1"/>
                </w:rPr>
                <w:t>10, 2021, by and between the Company and Lawrence M. Blatt.</w:t>
              </w:r>
            </w:hyperlink>
          </w:p>
        </w:tc>
        <w:tc>
          <w:tcPr>
            <w:tcW w:w="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400" w:type="dxa"/>
            <w:vAlign w:val="bottom"/>
            <w:tcBorders>
              <w:left w:val="single" w:sz="8" w:color="0000EE"/>
            </w:tcBorders>
            <w:shd w:val="clear" w:color="auto" w:fill="0563C1"/>
          </w:tcPr>
          <w:p>
            <w:pPr>
              <w:spacing w:after="0" w:line="20" w:lineRule="exact"/>
              <w:rPr>
                <w:sz w:val="1"/>
                <w:szCs w:val="1"/>
                <w:color w:val="auto"/>
              </w:rPr>
            </w:pPr>
          </w:p>
        </w:tc>
        <w:tc>
          <w:tcPr>
            <w:tcW w:w="1500" w:type="dxa"/>
            <w:vAlign w:val="bottom"/>
            <w:shd w:val="clear" w:color="auto" w:fill="0563C1"/>
          </w:tcPr>
          <w:p>
            <w:pPr>
              <w:spacing w:after="0" w:line="20" w:lineRule="exact"/>
              <w:rPr>
                <w:sz w:val="1"/>
                <w:szCs w:val="1"/>
                <w:color w:val="auto"/>
              </w:rPr>
            </w:pPr>
          </w:p>
        </w:tc>
        <w:tc>
          <w:tcPr>
            <w:tcW w:w="800" w:type="dxa"/>
            <w:vAlign w:val="bottom"/>
            <w:shd w:val="clear" w:color="auto" w:fill="0563C1"/>
          </w:tcPr>
          <w:p>
            <w:pPr>
              <w:spacing w:after="0" w:line="20" w:lineRule="exact"/>
              <w:rPr>
                <w:sz w:val="1"/>
                <w:szCs w:val="1"/>
                <w:color w:val="auto"/>
              </w:rPr>
            </w:pPr>
          </w:p>
        </w:tc>
        <w:tc>
          <w:tcPr>
            <w:tcW w:w="11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5360" w:type="dxa"/>
            <w:vAlign w:val="bottom"/>
            <w:gridSpan w:val="19"/>
          </w:tcPr>
          <w:p>
            <w:pPr>
              <w:spacing w:after="0" w:line="182" w:lineRule="exact"/>
              <w:rPr>
                <w:rFonts w:ascii="Arial" w:cs="Arial" w:eastAsia="Arial" w:hAnsi="Arial"/>
                <w:sz w:val="18"/>
                <w:szCs w:val="18"/>
                <w:color w:val="0563C1"/>
                <w:w w:val="94"/>
              </w:rPr>
            </w:pPr>
            <w:hyperlink r:id="rId325">
              <w:r>
                <w:rPr>
                  <w:rFonts w:ascii="Arial" w:cs="Arial" w:eastAsia="Arial" w:hAnsi="Arial"/>
                  <w:sz w:val="18"/>
                  <w:szCs w:val="18"/>
                  <w:color w:val="0563C1"/>
                  <w:w w:val="94"/>
                </w:rPr>
                <w:t>Employment Agreement by and between Aligos Therapeutics, Inc. and</w:t>
              </w:r>
            </w:hyperlink>
          </w:p>
        </w:tc>
        <w:tc>
          <w:tcPr>
            <w:tcW w:w="900" w:type="dxa"/>
            <w:vAlign w:val="bottom"/>
            <w:vMerge w:val="restart"/>
          </w:tcPr>
          <w:p>
            <w:pPr>
              <w:ind w:left="360"/>
              <w:spacing w:after="0"/>
              <w:rPr>
                <w:sz w:val="20"/>
                <w:szCs w:val="20"/>
                <w:color w:val="auto"/>
              </w:rPr>
            </w:pPr>
            <w:r>
              <w:rPr>
                <w:rFonts w:ascii="Arial" w:cs="Arial" w:eastAsia="Arial" w:hAnsi="Arial"/>
                <w:sz w:val="18"/>
                <w:szCs w:val="18"/>
                <w:color w:val="auto"/>
              </w:rPr>
              <w:t>10-Q</w:t>
            </w:r>
          </w:p>
        </w:tc>
        <w:tc>
          <w:tcPr>
            <w:tcW w:w="1540" w:type="dxa"/>
            <w:vAlign w:val="bottom"/>
            <w:vMerge w:val="restart"/>
          </w:tcPr>
          <w:p>
            <w:pPr>
              <w:jc w:val="right"/>
              <w:ind w:right="550"/>
              <w:spacing w:after="0"/>
              <w:rPr>
                <w:sz w:val="20"/>
                <w:szCs w:val="20"/>
                <w:color w:val="auto"/>
              </w:rPr>
            </w:pPr>
            <w:r>
              <w:rPr>
                <w:rFonts w:ascii="Arial" w:cs="Arial" w:eastAsia="Arial" w:hAnsi="Arial"/>
                <w:sz w:val="18"/>
                <w:szCs w:val="18"/>
                <w:color w:val="auto"/>
              </w:rPr>
              <w:t>5/10/2021</w:t>
            </w:r>
          </w:p>
        </w:tc>
        <w:tc>
          <w:tcPr>
            <w:tcW w:w="1760" w:type="dxa"/>
            <w:vAlign w:val="bottom"/>
            <w:vMerge w:val="restart"/>
          </w:tcPr>
          <w:p>
            <w:pPr>
              <w:ind w:left="38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3860" w:type="dxa"/>
            <w:vAlign w:val="bottom"/>
            <w:tcBorders>
              <w:top w:val="single" w:sz="8" w:color="0563C1"/>
              <w:bottom w:val="single" w:sz="8" w:color="0000EE"/>
            </w:tcBorders>
            <w:gridSpan w:val="4"/>
          </w:tcPr>
          <w:p>
            <w:pPr>
              <w:spacing w:after="0" w:line="156" w:lineRule="exact"/>
              <w:rPr>
                <w:rFonts w:ascii="Arial" w:cs="Arial" w:eastAsia="Arial" w:hAnsi="Arial"/>
                <w:sz w:val="18"/>
                <w:szCs w:val="18"/>
                <w:color w:val="0563C1"/>
                <w:w w:val="91"/>
              </w:rPr>
            </w:pPr>
            <w:hyperlink r:id="rId325">
              <w:r>
                <w:rPr>
                  <w:rFonts w:ascii="Arial" w:cs="Arial" w:eastAsia="Arial" w:hAnsi="Arial"/>
                  <w:sz w:val="18"/>
                  <w:szCs w:val="18"/>
                  <w:color w:val="0563C1"/>
                  <w:w w:val="91"/>
                </w:rPr>
                <w:t>Julian Symons, D.Phil., effective as of May 14, 2019</w:t>
              </w:r>
              <w:r>
                <w:rPr>
                  <w:rFonts w:ascii="Arial" w:cs="Arial" w:eastAsia="Arial" w:hAnsi="Arial"/>
                  <w:sz w:val="18"/>
                  <w:szCs w:val="18"/>
                  <w:u w:val="single" w:color="auto"/>
                  <w:color w:val="008FFF"/>
                  <w:w w:val="91"/>
                </w:rPr>
                <w:t>.</w:t>
              </w:r>
            </w:hyperlink>
          </w:p>
        </w:tc>
        <w:tc>
          <w:tcPr>
            <w:tcW w:w="1300" w:type="dxa"/>
            <w:vAlign w:val="bottom"/>
            <w:tcBorders>
              <w:top w:val="single" w:sz="8" w:color="0563C1"/>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90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line="182" w:lineRule="exact"/>
              <w:rPr>
                <w:sz w:val="20"/>
                <w:szCs w:val="20"/>
                <w:color w:val="auto"/>
              </w:rPr>
            </w:pPr>
            <w:r>
              <w:rPr>
                <w:rFonts w:ascii="Arial" w:cs="Arial" w:eastAsia="Arial" w:hAnsi="Arial"/>
                <w:sz w:val="18"/>
                <w:szCs w:val="18"/>
                <w:color w:val="auto"/>
              </w:rPr>
              <w:t>10.14#</w:t>
            </w:r>
          </w:p>
        </w:tc>
        <w:tc>
          <w:tcPr>
            <w:tcW w:w="3860" w:type="dxa"/>
            <w:vAlign w:val="bottom"/>
            <w:gridSpan w:val="4"/>
          </w:tcPr>
          <w:p>
            <w:pPr>
              <w:spacing w:after="0" w:line="182" w:lineRule="exact"/>
              <w:rPr>
                <w:rFonts w:ascii="Arial" w:cs="Arial" w:eastAsia="Arial" w:hAnsi="Arial"/>
                <w:sz w:val="18"/>
                <w:szCs w:val="18"/>
                <w:color w:val="0563C1"/>
                <w:w w:val="90"/>
              </w:rPr>
            </w:pPr>
            <w:hyperlink r:id="rId326">
              <w:r>
                <w:rPr>
                  <w:rFonts w:ascii="Arial" w:cs="Arial" w:eastAsia="Arial" w:hAnsi="Arial"/>
                  <w:sz w:val="18"/>
                  <w:szCs w:val="18"/>
                  <w:color w:val="0563C1"/>
                  <w:w w:val="90"/>
                </w:rPr>
                <w:t>Form of Change in Control and Severance Agreemen</w:t>
              </w:r>
            </w:hyperlink>
          </w:p>
        </w:tc>
        <w:tc>
          <w:tcPr>
            <w:tcW w:w="1500" w:type="dxa"/>
            <w:vAlign w:val="bottom"/>
            <w:gridSpan w:val="15"/>
          </w:tcPr>
          <w:p>
            <w:pPr>
              <w:spacing w:after="0" w:line="182" w:lineRule="exact"/>
              <w:rPr>
                <w:rFonts w:ascii="Arial" w:cs="Arial" w:eastAsia="Arial" w:hAnsi="Arial"/>
                <w:sz w:val="18"/>
                <w:szCs w:val="18"/>
                <w:color w:val="008FFF"/>
              </w:rPr>
            </w:pPr>
            <w:hyperlink r:id="rId326">
              <w:r>
                <w:rPr>
                  <w:rFonts w:ascii="Arial" w:cs="Arial" w:eastAsia="Arial" w:hAnsi="Arial"/>
                  <w:sz w:val="18"/>
                  <w:szCs w:val="18"/>
                  <w:color w:val="008FFF"/>
                </w:rPr>
                <w:t>t.</w:t>
              </w:r>
            </w:hyperlink>
          </w:p>
        </w:tc>
        <w:tc>
          <w:tcPr>
            <w:tcW w:w="900" w:type="dxa"/>
            <w:vAlign w:val="bottom"/>
          </w:tcPr>
          <w:p>
            <w:pPr>
              <w:ind w:left="360"/>
              <w:spacing w:after="0" w:line="182" w:lineRule="exact"/>
              <w:rPr>
                <w:sz w:val="20"/>
                <w:szCs w:val="20"/>
                <w:color w:val="auto"/>
              </w:rPr>
            </w:pPr>
            <w:r>
              <w:rPr>
                <w:rFonts w:ascii="Arial" w:cs="Arial" w:eastAsia="Arial" w:hAnsi="Arial"/>
                <w:sz w:val="18"/>
                <w:szCs w:val="18"/>
                <w:color w:val="auto"/>
              </w:rPr>
              <w:t>10-Q</w:t>
            </w:r>
          </w:p>
        </w:tc>
        <w:tc>
          <w:tcPr>
            <w:tcW w:w="1540" w:type="dxa"/>
            <w:vAlign w:val="bottom"/>
          </w:tcPr>
          <w:p>
            <w:pPr>
              <w:jc w:val="right"/>
              <w:ind w:right="550"/>
              <w:spacing w:after="0" w:line="182" w:lineRule="exact"/>
              <w:rPr>
                <w:sz w:val="20"/>
                <w:szCs w:val="20"/>
                <w:color w:val="auto"/>
              </w:rPr>
            </w:pPr>
            <w:r>
              <w:rPr>
                <w:rFonts w:ascii="Arial" w:cs="Arial" w:eastAsia="Arial" w:hAnsi="Arial"/>
                <w:sz w:val="18"/>
                <w:szCs w:val="18"/>
                <w:color w:val="auto"/>
              </w:rPr>
              <w:t>5/10/2021</w:t>
            </w:r>
          </w:p>
        </w:tc>
        <w:tc>
          <w:tcPr>
            <w:tcW w:w="1760" w:type="dxa"/>
            <w:vAlign w:val="bottom"/>
          </w:tcPr>
          <w:p>
            <w:pPr>
              <w:ind w:left="380"/>
              <w:spacing w:after="0" w:line="18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2" w:lineRule="exact"/>
              <w:rPr>
                <w:sz w:val="20"/>
                <w:szCs w:val="20"/>
                <w:color w:val="auto"/>
              </w:rPr>
            </w:pPr>
            <w:r>
              <w:rPr>
                <w:rFonts w:ascii="Arial" w:cs="Arial" w:eastAsia="Arial" w:hAnsi="Arial"/>
                <w:sz w:val="18"/>
                <w:szCs w:val="18"/>
                <w:color w:val="auto"/>
              </w:rPr>
              <w:t>10.15#</w:t>
            </w:r>
          </w:p>
        </w:tc>
        <w:tc>
          <w:tcPr>
            <w:tcW w:w="400" w:type="dxa"/>
            <w:vAlign w:val="bottom"/>
            <w:tcBorders>
              <w:left w:val="single" w:sz="8" w:color="0563C1"/>
            </w:tcBorders>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5360" w:type="dxa"/>
            <w:vAlign w:val="bottom"/>
            <w:gridSpan w:val="19"/>
          </w:tcPr>
          <w:p>
            <w:pPr>
              <w:spacing w:after="0" w:line="182" w:lineRule="exact"/>
              <w:rPr>
                <w:rFonts w:ascii="Arial" w:cs="Arial" w:eastAsia="Arial" w:hAnsi="Arial"/>
                <w:sz w:val="18"/>
                <w:szCs w:val="18"/>
                <w:color w:val="0563C1"/>
                <w:w w:val="97"/>
              </w:rPr>
            </w:pPr>
            <w:hyperlink r:id="rId327">
              <w:r>
                <w:rPr>
                  <w:rFonts w:ascii="Arial" w:cs="Arial" w:eastAsia="Arial" w:hAnsi="Arial"/>
                  <w:sz w:val="18"/>
                  <w:szCs w:val="18"/>
                  <w:color w:val="0563C1"/>
                  <w:w w:val="97"/>
                </w:rPr>
                <w:t>Consulting agreement by and between Aligos Therapeutics, Inc. and</w:t>
              </w:r>
            </w:hyperlink>
          </w:p>
        </w:tc>
        <w:tc>
          <w:tcPr>
            <w:tcW w:w="900" w:type="dxa"/>
            <w:vAlign w:val="bottom"/>
            <w:vMerge w:val="restart"/>
          </w:tcPr>
          <w:p>
            <w:pPr>
              <w:ind w:left="360"/>
              <w:spacing w:after="0"/>
              <w:rPr>
                <w:sz w:val="20"/>
                <w:szCs w:val="20"/>
                <w:color w:val="auto"/>
              </w:rPr>
            </w:pPr>
            <w:r>
              <w:rPr>
                <w:rFonts w:ascii="Arial" w:cs="Arial" w:eastAsia="Arial" w:hAnsi="Arial"/>
                <w:sz w:val="18"/>
                <w:szCs w:val="18"/>
                <w:color w:val="auto"/>
              </w:rPr>
              <w:t>10-Q</w:t>
            </w:r>
          </w:p>
        </w:tc>
        <w:tc>
          <w:tcPr>
            <w:tcW w:w="1540" w:type="dxa"/>
            <w:vAlign w:val="bottom"/>
            <w:vMerge w:val="restart"/>
          </w:tcPr>
          <w:p>
            <w:pPr>
              <w:jc w:val="right"/>
              <w:ind w:right="310"/>
              <w:spacing w:after="0"/>
              <w:rPr>
                <w:sz w:val="20"/>
                <w:szCs w:val="20"/>
                <w:color w:val="auto"/>
              </w:rPr>
            </w:pPr>
            <w:r>
              <w:rPr>
                <w:rFonts w:ascii="Arial" w:cs="Arial" w:eastAsia="Arial" w:hAnsi="Arial"/>
                <w:sz w:val="18"/>
                <w:szCs w:val="18"/>
                <w:color w:val="auto"/>
              </w:rPr>
              <w:t>8/5/2021</w:t>
            </w:r>
          </w:p>
        </w:tc>
        <w:tc>
          <w:tcPr>
            <w:tcW w:w="1760" w:type="dxa"/>
            <w:vAlign w:val="bottom"/>
            <w:vMerge w:val="restart"/>
          </w:tcPr>
          <w:p>
            <w:pPr>
              <w:ind w:left="38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55"/>
        </w:trPr>
        <w:tc>
          <w:tcPr>
            <w:tcW w:w="1140" w:type="dxa"/>
            <w:vAlign w:val="bottom"/>
            <w:vMerge w:val="restart"/>
          </w:tcPr>
          <w:p>
            <w:pPr>
              <w:spacing w:after="0"/>
              <w:rPr>
                <w:sz w:val="20"/>
                <w:szCs w:val="20"/>
                <w:color w:val="auto"/>
              </w:rPr>
            </w:pPr>
            <w:r>
              <w:rPr>
                <w:rFonts w:ascii="Arial" w:cs="Arial" w:eastAsia="Arial" w:hAnsi="Arial"/>
                <w:sz w:val="18"/>
                <w:szCs w:val="18"/>
                <w:color w:val="auto"/>
              </w:rPr>
              <w:t>10.16</w:t>
            </w:r>
          </w:p>
        </w:tc>
        <w:tc>
          <w:tcPr>
            <w:tcW w:w="4980" w:type="dxa"/>
            <w:vAlign w:val="bottom"/>
            <w:tcBorders>
              <w:top w:val="single" w:sz="8" w:color="0563C1"/>
            </w:tcBorders>
            <w:gridSpan w:val="12"/>
          </w:tcPr>
          <w:p>
            <w:pPr>
              <w:spacing w:after="0" w:line="156" w:lineRule="exact"/>
              <w:rPr>
                <w:rFonts w:ascii="Arial" w:cs="Arial" w:eastAsia="Arial" w:hAnsi="Arial"/>
                <w:sz w:val="18"/>
                <w:szCs w:val="18"/>
                <w:color w:val="0563C1"/>
              </w:rPr>
            </w:pPr>
            <w:hyperlink r:id="rId327">
              <w:r>
                <w:rPr>
                  <w:rFonts w:ascii="Arial" w:cs="Arial" w:eastAsia="Arial" w:hAnsi="Arial"/>
                  <w:sz w:val="18"/>
                  <w:szCs w:val="18"/>
                  <w:color w:val="0563C1"/>
                </w:rPr>
                <w:t>Kathleen Glaub, dated June 17, 2021.</w:t>
              </w:r>
            </w:hyperlink>
          </w:p>
        </w:tc>
        <w:tc>
          <w:tcPr>
            <w:tcW w:w="1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90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400" w:type="dxa"/>
            <w:vAlign w:val="bottom"/>
            <w:tcBorders>
              <w:left w:val="single" w:sz="8" w:color="0000EE"/>
            </w:tcBorders>
            <w:shd w:val="clear" w:color="auto" w:fill="0563C1"/>
          </w:tcPr>
          <w:p>
            <w:pPr>
              <w:spacing w:after="0" w:line="20" w:lineRule="exact"/>
              <w:rPr>
                <w:sz w:val="1"/>
                <w:szCs w:val="1"/>
                <w:color w:val="auto"/>
              </w:rPr>
            </w:pPr>
          </w:p>
        </w:tc>
        <w:tc>
          <w:tcPr>
            <w:tcW w:w="1500" w:type="dxa"/>
            <w:vAlign w:val="bottom"/>
            <w:shd w:val="clear" w:color="auto" w:fill="0563C1"/>
          </w:tcPr>
          <w:p>
            <w:pPr>
              <w:spacing w:after="0" w:line="20" w:lineRule="exact"/>
              <w:rPr>
                <w:sz w:val="1"/>
                <w:szCs w:val="1"/>
                <w:color w:val="auto"/>
              </w:rPr>
            </w:pPr>
          </w:p>
        </w:tc>
        <w:tc>
          <w:tcPr>
            <w:tcW w:w="800" w:type="dxa"/>
            <w:vAlign w:val="bottom"/>
            <w:shd w:val="clear" w:color="auto" w:fill="0563C1"/>
          </w:tcPr>
          <w:p>
            <w:pPr>
              <w:spacing w:after="0" w:line="20" w:lineRule="exact"/>
              <w:rPr>
                <w:sz w:val="1"/>
                <w:szCs w:val="1"/>
                <w:color w:val="auto"/>
              </w:rPr>
            </w:pPr>
          </w:p>
        </w:tc>
        <w:tc>
          <w:tcPr>
            <w:tcW w:w="2660" w:type="dxa"/>
            <w:vAlign w:val="bottom"/>
            <w:gridSpan w:val="16"/>
            <w:vMerge w:val="restart"/>
          </w:tcPr>
          <w:p>
            <w:pPr>
              <w:ind w:left="60"/>
              <w:spacing w:after="0" w:line="202" w:lineRule="exact"/>
              <w:rPr>
                <w:rFonts w:ascii="Arial" w:cs="Arial" w:eastAsia="Arial" w:hAnsi="Arial"/>
                <w:sz w:val="18"/>
                <w:szCs w:val="18"/>
                <w:color w:val="0563C1"/>
              </w:rPr>
            </w:pPr>
            <w:hyperlink w:anchor="page160">
              <w:r>
                <w:rPr>
                  <w:rFonts w:ascii="Arial" w:cs="Arial" w:eastAsia="Arial" w:hAnsi="Arial"/>
                  <w:sz w:val="18"/>
                  <w:szCs w:val="18"/>
                  <w:color w:val="0563C1"/>
                </w:rPr>
                <w:t>GATEWAY CENTER LP and</w:t>
              </w:r>
            </w:hyperlink>
          </w:p>
        </w:tc>
        <w:tc>
          <w:tcPr>
            <w:tcW w:w="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2700" w:type="dxa"/>
            <w:vAlign w:val="bottom"/>
            <w:gridSpan w:val="3"/>
          </w:tcPr>
          <w:p>
            <w:pPr>
              <w:spacing w:after="0" w:line="182" w:lineRule="exact"/>
              <w:rPr>
                <w:rFonts w:ascii="Arial" w:cs="Arial" w:eastAsia="Arial" w:hAnsi="Arial"/>
                <w:sz w:val="18"/>
                <w:szCs w:val="18"/>
                <w:color w:val="0563C1"/>
                <w:w w:val="88"/>
              </w:rPr>
            </w:pPr>
            <w:hyperlink w:anchor="page160">
              <w:r>
                <w:rPr>
                  <w:rFonts w:ascii="Arial" w:cs="Arial" w:eastAsia="Arial" w:hAnsi="Arial"/>
                  <w:sz w:val="18"/>
                  <w:szCs w:val="18"/>
                  <w:color w:val="0563C1"/>
                  <w:w w:val="88"/>
                </w:rPr>
                <w:t>Lease Agreement between 601 &amp; 651</w:t>
              </w:r>
            </w:hyperlink>
          </w:p>
        </w:tc>
        <w:tc>
          <w:tcPr>
            <w:tcW w:w="2660" w:type="dxa"/>
            <w:vAlign w:val="bottom"/>
            <w:gridSpan w:val="16"/>
            <w:vMerge w:val="continue"/>
          </w:tcPr>
          <w:p>
            <w:pPr>
              <w:spacing w:after="0"/>
              <w:rPr>
                <w:sz w:val="15"/>
                <w:szCs w:val="15"/>
                <w:color w:val="auto"/>
              </w:rPr>
            </w:pPr>
          </w:p>
        </w:tc>
        <w:tc>
          <w:tcPr>
            <w:tcW w:w="9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60" w:type="dxa"/>
            <w:vAlign w:val="bottom"/>
            <w:vMerge w:val="restart"/>
          </w:tcPr>
          <w:p>
            <w:pPr>
              <w:ind w:left="16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4340" w:type="dxa"/>
            <w:vAlign w:val="bottom"/>
            <w:tcBorders>
              <w:top w:val="single" w:sz="8" w:color="0563C1"/>
              <w:bottom w:val="single" w:sz="8" w:color="0563C1"/>
            </w:tcBorders>
            <w:gridSpan w:val="7"/>
          </w:tcPr>
          <w:p>
            <w:pPr>
              <w:spacing w:after="0" w:line="156" w:lineRule="exact"/>
              <w:rPr>
                <w:rFonts w:ascii="Arial" w:cs="Arial" w:eastAsia="Arial" w:hAnsi="Arial"/>
                <w:sz w:val="18"/>
                <w:szCs w:val="18"/>
                <w:color w:val="0563C1"/>
                <w:w w:val="92"/>
              </w:rPr>
            </w:pPr>
            <w:hyperlink w:anchor="page160">
              <w:r>
                <w:rPr>
                  <w:rFonts w:ascii="Arial" w:cs="Arial" w:eastAsia="Arial" w:hAnsi="Arial"/>
                  <w:sz w:val="18"/>
                  <w:szCs w:val="18"/>
                  <w:color w:val="0563C1"/>
                  <w:w w:val="92"/>
                </w:rPr>
                <w:t>ALIGOS THERAPEUTICS, INC., dated December 9, 2021</w:t>
              </w:r>
            </w:hyperlink>
          </w:p>
        </w:tc>
        <w:tc>
          <w:tcPr>
            <w:tcW w:w="620" w:type="dxa"/>
            <w:vAlign w:val="bottom"/>
            <w:tcBorders>
              <w:top w:val="single" w:sz="8" w:color="0563C1"/>
            </w:tcBorders>
            <w:gridSpan w:val="4"/>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21.1</w:t>
            </w:r>
          </w:p>
        </w:tc>
        <w:tc>
          <w:tcPr>
            <w:tcW w:w="4340" w:type="dxa"/>
            <w:vAlign w:val="bottom"/>
            <w:gridSpan w:val="7"/>
          </w:tcPr>
          <w:p>
            <w:pPr>
              <w:spacing w:after="0" w:line="182" w:lineRule="exact"/>
              <w:rPr>
                <w:rFonts w:ascii="Arial" w:cs="Arial" w:eastAsia="Arial" w:hAnsi="Arial"/>
                <w:sz w:val="18"/>
                <w:szCs w:val="18"/>
                <w:color w:val="0563C1"/>
              </w:rPr>
            </w:pPr>
            <w:hyperlink w:anchor="page202">
              <w:r>
                <w:rPr>
                  <w:rFonts w:ascii="Arial" w:cs="Arial" w:eastAsia="Arial" w:hAnsi="Arial"/>
                  <w:sz w:val="18"/>
                  <w:szCs w:val="18"/>
                  <w:color w:val="0563C1"/>
                </w:rPr>
                <w:t>Subsidiaries of Registrant.</w:t>
              </w:r>
            </w:hyperlink>
          </w:p>
        </w:tc>
        <w:tc>
          <w:tcPr>
            <w:tcW w:w="2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28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60" w:type="dxa"/>
            <w:vAlign w:val="bottom"/>
          </w:tcPr>
          <w:p>
            <w:pPr>
              <w:ind w:left="1620"/>
              <w:spacing w:after="0" w:line="18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2" w:lineRule="exact"/>
              <w:rPr>
                <w:sz w:val="20"/>
                <w:szCs w:val="20"/>
                <w:color w:val="auto"/>
              </w:rPr>
            </w:pPr>
            <w:r>
              <w:rPr>
                <w:rFonts w:ascii="Arial" w:cs="Arial" w:eastAsia="Arial" w:hAnsi="Arial"/>
                <w:sz w:val="18"/>
                <w:szCs w:val="18"/>
                <w:color w:val="auto"/>
              </w:rPr>
              <w:t>23.1</w:t>
            </w:r>
          </w:p>
        </w:tc>
        <w:tc>
          <w:tcPr>
            <w:tcW w:w="400" w:type="dxa"/>
            <w:vAlign w:val="bottom"/>
            <w:tcBorders>
              <w:left w:val="single" w:sz="8" w:color="0000EE"/>
            </w:tcBorders>
            <w:shd w:val="clear" w:color="auto" w:fill="0563C1"/>
          </w:tcPr>
          <w:p>
            <w:pPr>
              <w:spacing w:after="0" w:line="20" w:lineRule="exact"/>
              <w:rPr>
                <w:sz w:val="1"/>
                <w:szCs w:val="1"/>
                <w:color w:val="auto"/>
              </w:rPr>
            </w:pPr>
          </w:p>
        </w:tc>
        <w:tc>
          <w:tcPr>
            <w:tcW w:w="1500" w:type="dxa"/>
            <w:vAlign w:val="bottom"/>
            <w:shd w:val="clear" w:color="auto" w:fill="0563C1"/>
          </w:tcPr>
          <w:p>
            <w:pPr>
              <w:spacing w:after="0" w:line="20" w:lineRule="exact"/>
              <w:rPr>
                <w:sz w:val="1"/>
                <w:szCs w:val="1"/>
                <w:color w:val="auto"/>
              </w:rPr>
            </w:pPr>
          </w:p>
        </w:tc>
        <w:tc>
          <w:tcPr>
            <w:tcW w:w="3460" w:type="dxa"/>
            <w:vAlign w:val="bottom"/>
            <w:gridSpan w:val="17"/>
            <w:vMerge w:val="restart"/>
          </w:tcPr>
          <w:p>
            <w:pPr>
              <w:spacing w:after="0" w:line="202" w:lineRule="exact"/>
              <w:rPr>
                <w:rFonts w:ascii="Arial" w:cs="Arial" w:eastAsia="Arial" w:hAnsi="Arial"/>
                <w:sz w:val="18"/>
                <w:szCs w:val="18"/>
                <w:color w:val="0563C1"/>
              </w:rPr>
            </w:pPr>
            <w:hyperlink w:anchor="page203">
              <w:r>
                <w:rPr>
                  <w:rFonts w:ascii="Arial" w:cs="Arial" w:eastAsia="Arial" w:hAnsi="Arial"/>
                  <w:sz w:val="18"/>
                  <w:szCs w:val="18"/>
                  <w:color w:val="0563C1"/>
                </w:rPr>
                <w:t>Registered Public Accounting Firm.</w:t>
              </w:r>
            </w:hyperlink>
          </w:p>
        </w:tc>
        <w:tc>
          <w:tcPr>
            <w:tcW w:w="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60" w:type="dxa"/>
            <w:vAlign w:val="bottom"/>
            <w:vMerge w:val="restart"/>
          </w:tcPr>
          <w:p>
            <w:pPr>
              <w:ind w:left="1620"/>
              <w:spacing w:after="0" w:line="20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1900" w:type="dxa"/>
            <w:vAlign w:val="bottom"/>
            <w:gridSpan w:val="2"/>
          </w:tcPr>
          <w:p>
            <w:pPr>
              <w:spacing w:after="0" w:line="182" w:lineRule="exact"/>
              <w:rPr>
                <w:rFonts w:ascii="Arial" w:cs="Arial" w:eastAsia="Arial" w:hAnsi="Arial"/>
                <w:sz w:val="18"/>
                <w:szCs w:val="18"/>
                <w:color w:val="0563C1"/>
                <w:w w:val="97"/>
              </w:rPr>
            </w:pPr>
            <w:hyperlink w:anchor="page203">
              <w:r>
                <w:rPr>
                  <w:rFonts w:ascii="Arial" w:cs="Arial" w:eastAsia="Arial" w:hAnsi="Arial"/>
                  <w:sz w:val="18"/>
                  <w:szCs w:val="18"/>
                  <w:color w:val="0563C1"/>
                  <w:w w:val="97"/>
                </w:rPr>
                <w:t>Consent of Independent</w:t>
              </w:r>
            </w:hyperlink>
          </w:p>
        </w:tc>
        <w:tc>
          <w:tcPr>
            <w:tcW w:w="3460" w:type="dxa"/>
            <w:vAlign w:val="bottom"/>
            <w:gridSpan w:val="17"/>
            <w:vMerge w:val="continue"/>
          </w:tcPr>
          <w:p>
            <w:pPr>
              <w:spacing w:after="0"/>
              <w:rPr>
                <w:sz w:val="15"/>
                <w:szCs w:val="15"/>
                <w:color w:val="auto"/>
              </w:rPr>
            </w:pPr>
          </w:p>
        </w:tc>
        <w:tc>
          <w:tcPr>
            <w:tcW w:w="9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2" w:lineRule="exact"/>
              <w:rPr>
                <w:sz w:val="20"/>
                <w:szCs w:val="20"/>
                <w:color w:val="auto"/>
              </w:rPr>
            </w:pPr>
            <w:r>
              <w:rPr>
                <w:rFonts w:ascii="Arial" w:cs="Arial" w:eastAsia="Arial" w:hAnsi="Arial"/>
                <w:sz w:val="18"/>
                <w:szCs w:val="18"/>
                <w:color w:val="auto"/>
              </w:rPr>
              <w:t>24.1</w:t>
            </w:r>
          </w:p>
        </w:tc>
        <w:tc>
          <w:tcPr>
            <w:tcW w:w="400" w:type="dxa"/>
            <w:vAlign w:val="bottom"/>
            <w:tcBorders>
              <w:left w:val="single" w:sz="8" w:color="0000EE"/>
            </w:tcBorders>
            <w:shd w:val="clear" w:color="auto" w:fill="0563C1"/>
          </w:tcPr>
          <w:p>
            <w:pPr>
              <w:spacing w:after="0" w:line="20" w:lineRule="exact"/>
              <w:rPr>
                <w:sz w:val="1"/>
                <w:szCs w:val="1"/>
                <w:color w:val="auto"/>
              </w:rPr>
            </w:pPr>
          </w:p>
        </w:tc>
        <w:tc>
          <w:tcPr>
            <w:tcW w:w="3920" w:type="dxa"/>
            <w:vAlign w:val="bottom"/>
            <w:gridSpan w:val="5"/>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1000" w:type="dxa"/>
            <w:vAlign w:val="bottom"/>
            <w:gridSpan w:val="11"/>
            <w:vMerge w:val="restart"/>
          </w:tcPr>
          <w:p>
            <w:pPr>
              <w:spacing w:after="0" w:line="202" w:lineRule="exact"/>
              <w:rPr>
                <w:rFonts w:ascii="Arial" w:cs="Arial" w:eastAsia="Arial" w:hAnsi="Arial"/>
                <w:sz w:val="18"/>
                <w:szCs w:val="18"/>
                <w:color w:val="0563C1"/>
              </w:rPr>
            </w:pPr>
            <w:hyperlink w:anchor="page159">
              <w:r>
                <w:rPr>
                  <w:rFonts w:ascii="Arial" w:cs="Arial" w:eastAsia="Arial" w:hAnsi="Arial"/>
                  <w:sz w:val="18"/>
                  <w:szCs w:val="18"/>
                  <w:color w:val="0563C1"/>
                </w:rPr>
                <w:t>10-K).</w:t>
              </w:r>
            </w:hyperlink>
          </w:p>
        </w:tc>
        <w:tc>
          <w:tcPr>
            <w:tcW w:w="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60" w:type="dxa"/>
            <w:vAlign w:val="bottom"/>
            <w:vMerge w:val="restart"/>
          </w:tcPr>
          <w:p>
            <w:pPr>
              <w:ind w:left="1620"/>
              <w:spacing w:after="0" w:line="20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4360" w:type="dxa"/>
            <w:vAlign w:val="bottom"/>
            <w:gridSpan w:val="8"/>
          </w:tcPr>
          <w:p>
            <w:pPr>
              <w:spacing w:after="0" w:line="182" w:lineRule="exact"/>
              <w:rPr>
                <w:rFonts w:ascii="Arial" w:cs="Arial" w:eastAsia="Arial" w:hAnsi="Arial"/>
                <w:sz w:val="18"/>
                <w:szCs w:val="18"/>
                <w:color w:val="0563C1"/>
                <w:w w:val="92"/>
              </w:rPr>
            </w:pPr>
            <w:hyperlink w:anchor="page159">
              <w:r>
                <w:rPr>
                  <w:rFonts w:ascii="Arial" w:cs="Arial" w:eastAsia="Arial" w:hAnsi="Arial"/>
                  <w:sz w:val="18"/>
                  <w:szCs w:val="18"/>
                  <w:color w:val="0563C1"/>
                  <w:w w:val="92"/>
                </w:rPr>
                <w:t>Power of Attorney (included on signature page to this Form</w:t>
              </w:r>
            </w:hyperlink>
          </w:p>
        </w:tc>
        <w:tc>
          <w:tcPr>
            <w:tcW w:w="1000" w:type="dxa"/>
            <w:vAlign w:val="bottom"/>
            <w:gridSpan w:val="11"/>
            <w:vMerge w:val="continue"/>
          </w:tcPr>
          <w:p>
            <w:pPr>
              <w:spacing w:after="0"/>
              <w:rPr>
                <w:sz w:val="15"/>
                <w:szCs w:val="15"/>
                <w:color w:val="auto"/>
              </w:rPr>
            </w:pPr>
          </w:p>
        </w:tc>
        <w:tc>
          <w:tcPr>
            <w:tcW w:w="9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2" w:lineRule="exact"/>
              <w:rPr>
                <w:sz w:val="20"/>
                <w:szCs w:val="20"/>
                <w:color w:val="auto"/>
              </w:rPr>
            </w:pPr>
            <w:r>
              <w:rPr>
                <w:rFonts w:ascii="Arial" w:cs="Arial" w:eastAsia="Arial" w:hAnsi="Arial"/>
                <w:sz w:val="18"/>
                <w:szCs w:val="18"/>
                <w:color w:val="auto"/>
              </w:rPr>
              <w:t>31.1</w:t>
            </w:r>
          </w:p>
        </w:tc>
        <w:tc>
          <w:tcPr>
            <w:tcW w:w="400" w:type="dxa"/>
            <w:vAlign w:val="bottom"/>
            <w:tcBorders>
              <w:left w:val="single" w:sz="8" w:color="0000EE"/>
            </w:tcBorders>
            <w:shd w:val="clear" w:color="auto" w:fill="0563C1"/>
          </w:tcPr>
          <w:p>
            <w:pPr>
              <w:spacing w:after="0" w:line="20" w:lineRule="exact"/>
              <w:rPr>
                <w:sz w:val="1"/>
                <w:szCs w:val="1"/>
                <w:color w:val="auto"/>
              </w:rPr>
            </w:pPr>
          </w:p>
        </w:tc>
        <w:tc>
          <w:tcPr>
            <w:tcW w:w="3920" w:type="dxa"/>
            <w:vAlign w:val="bottom"/>
            <w:gridSpan w:val="5"/>
            <w:shd w:val="clear" w:color="auto" w:fill="0563C1"/>
          </w:tcPr>
          <w:p>
            <w:pPr>
              <w:spacing w:after="0" w:line="20" w:lineRule="exact"/>
              <w:rPr>
                <w:sz w:val="1"/>
                <w:szCs w:val="1"/>
                <w:color w:val="auto"/>
              </w:rPr>
            </w:pPr>
          </w:p>
        </w:tc>
        <w:tc>
          <w:tcPr>
            <w:tcW w:w="500" w:type="dxa"/>
            <w:vAlign w:val="bottom"/>
            <w:gridSpan w:val="4"/>
            <w:shd w:val="clear" w:color="auto" w:fill="0563C1"/>
          </w:tcPr>
          <w:p>
            <w:pPr>
              <w:spacing w:after="0" w:line="20" w:lineRule="exact"/>
              <w:rPr>
                <w:sz w:val="1"/>
                <w:szCs w:val="1"/>
                <w:color w:val="auto"/>
              </w:rPr>
            </w:pPr>
          </w:p>
        </w:tc>
        <w:tc>
          <w:tcPr>
            <w:tcW w:w="540" w:type="dxa"/>
            <w:vAlign w:val="bottom"/>
            <w:gridSpan w:val="9"/>
            <w:vMerge w:val="restart"/>
          </w:tcPr>
          <w:p>
            <w:pPr>
              <w:spacing w:after="0" w:line="202" w:lineRule="exact"/>
              <w:rPr>
                <w:rFonts w:ascii="Arial" w:cs="Arial" w:eastAsia="Arial" w:hAnsi="Arial"/>
                <w:sz w:val="18"/>
                <w:szCs w:val="18"/>
                <w:color w:val="0563C1"/>
              </w:rPr>
            </w:pPr>
            <w:hyperlink w:anchor="page204">
              <w:r>
                <w:rPr>
                  <w:rFonts w:ascii="Arial" w:cs="Arial" w:eastAsia="Arial" w:hAnsi="Arial"/>
                  <w:sz w:val="18"/>
                  <w:szCs w:val="18"/>
                  <w:color w:val="0563C1"/>
                </w:rPr>
                <w:t>14(a)</w:t>
              </w:r>
            </w:hyperlink>
          </w:p>
        </w:tc>
        <w:tc>
          <w:tcPr>
            <w:tcW w:w="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4820" w:type="dxa"/>
            <w:vAlign w:val="bottom"/>
            <w:gridSpan w:val="10"/>
          </w:tcPr>
          <w:p>
            <w:pPr>
              <w:spacing w:after="0" w:line="182" w:lineRule="exact"/>
              <w:rPr>
                <w:rFonts w:ascii="Arial" w:cs="Arial" w:eastAsia="Arial" w:hAnsi="Arial"/>
                <w:sz w:val="18"/>
                <w:szCs w:val="18"/>
                <w:color w:val="0563C1"/>
                <w:w w:val="92"/>
              </w:rPr>
            </w:pPr>
            <w:hyperlink w:anchor="page204">
              <w:r>
                <w:rPr>
                  <w:rFonts w:ascii="Arial" w:cs="Arial" w:eastAsia="Arial" w:hAnsi="Arial"/>
                  <w:sz w:val="18"/>
                  <w:szCs w:val="18"/>
                  <w:color w:val="0563C1"/>
                  <w:w w:val="92"/>
                </w:rPr>
                <w:t>Certification of Principal Executive Officer Pursuant to Rules 13a-</w:t>
              </w:r>
            </w:hyperlink>
          </w:p>
        </w:tc>
        <w:tc>
          <w:tcPr>
            <w:tcW w:w="540" w:type="dxa"/>
            <w:vAlign w:val="bottom"/>
            <w:gridSpan w:val="9"/>
            <w:vMerge w:val="continue"/>
          </w:tcPr>
          <w:p>
            <w:pPr>
              <w:spacing w:after="0"/>
              <w:rPr>
                <w:sz w:val="15"/>
                <w:szCs w:val="15"/>
                <w:color w:val="auto"/>
              </w:rPr>
            </w:pPr>
          </w:p>
        </w:tc>
        <w:tc>
          <w:tcPr>
            <w:tcW w:w="9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5220" w:type="dxa"/>
            <w:vAlign w:val="bottom"/>
            <w:tcBorders>
              <w:top w:val="single" w:sz="8" w:color="0563C1"/>
            </w:tcBorders>
            <w:gridSpan w:val="16"/>
          </w:tcPr>
          <w:p>
            <w:pPr>
              <w:spacing w:after="0" w:line="156" w:lineRule="exact"/>
              <w:rPr>
                <w:rFonts w:ascii="Arial" w:cs="Arial" w:eastAsia="Arial" w:hAnsi="Arial"/>
                <w:sz w:val="18"/>
                <w:szCs w:val="18"/>
                <w:color w:val="0563C1"/>
                <w:w w:val="92"/>
              </w:rPr>
            </w:pPr>
            <w:hyperlink w:anchor="page204">
              <w:r>
                <w:rPr>
                  <w:rFonts w:ascii="Arial" w:cs="Arial" w:eastAsia="Arial" w:hAnsi="Arial"/>
                  <w:sz w:val="18"/>
                  <w:szCs w:val="18"/>
                  <w:color w:val="0563C1"/>
                  <w:w w:val="92"/>
                </w:rPr>
                <w:t>and 15d-14(a) under the Securities Exchange Act of 1934, as Adopted</w:t>
              </w:r>
            </w:hyperlink>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760" w:type="dxa"/>
            <w:vAlign w:val="bottom"/>
            <w:vMerge w:val="restart"/>
          </w:tcPr>
          <w:p>
            <w:pPr>
              <w:ind w:left="16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14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4320" w:type="dxa"/>
            <w:vAlign w:val="bottom"/>
            <w:tcBorders>
              <w:top w:val="single" w:sz="8" w:color="0563C1"/>
              <w:bottom w:val="single" w:sz="8" w:color="0563C1"/>
            </w:tcBorders>
            <w:gridSpan w:val="6"/>
          </w:tcPr>
          <w:p>
            <w:pPr>
              <w:spacing w:after="0" w:line="156" w:lineRule="exact"/>
              <w:rPr>
                <w:rFonts w:ascii="Arial" w:cs="Arial" w:eastAsia="Arial" w:hAnsi="Arial"/>
                <w:sz w:val="18"/>
                <w:szCs w:val="18"/>
                <w:color w:val="0563C1"/>
                <w:w w:val="90"/>
              </w:rPr>
            </w:pPr>
            <w:hyperlink w:anchor="page204">
              <w:r>
                <w:rPr>
                  <w:rFonts w:ascii="Arial" w:cs="Arial" w:eastAsia="Arial" w:hAnsi="Arial"/>
                  <w:sz w:val="18"/>
                  <w:szCs w:val="18"/>
                  <w:color w:val="0563C1"/>
                  <w:w w:val="90"/>
                </w:rPr>
                <w:t>Pursuant to Section 302 of the Sarbanes-Oxley Act of 2002.</w:t>
              </w:r>
            </w:hyperlink>
          </w:p>
        </w:tc>
        <w:tc>
          <w:tcPr>
            <w:tcW w:w="780" w:type="dxa"/>
            <w:vAlign w:val="bottom"/>
            <w:tcBorders>
              <w:top w:val="single" w:sz="8" w:color="0563C1"/>
            </w:tcBorders>
            <w:gridSpan w:val="7"/>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4320" w:type="dxa"/>
            <w:vAlign w:val="bottom"/>
            <w:gridSpan w:val="6"/>
          </w:tcPr>
          <w:p>
            <w:pPr>
              <w:spacing w:after="0" w:line="182" w:lineRule="exact"/>
              <w:rPr>
                <w:rFonts w:ascii="Arial" w:cs="Arial" w:eastAsia="Arial" w:hAnsi="Arial"/>
                <w:sz w:val="18"/>
                <w:szCs w:val="18"/>
                <w:color w:val="0563C1"/>
                <w:w w:val="91"/>
              </w:rPr>
            </w:pPr>
            <w:hyperlink w:anchor="page205">
              <w:r>
                <w:rPr>
                  <w:rFonts w:ascii="Arial" w:cs="Arial" w:eastAsia="Arial" w:hAnsi="Arial"/>
                  <w:sz w:val="18"/>
                  <w:szCs w:val="18"/>
                  <w:color w:val="0563C1"/>
                  <w:w w:val="91"/>
                </w:rPr>
                <w:t>Certification of Principal Financial Officer Pursuant to Rules</w:t>
              </w:r>
            </w:hyperlink>
          </w:p>
        </w:tc>
        <w:tc>
          <w:tcPr>
            <w:tcW w:w="1040" w:type="dxa"/>
            <w:vAlign w:val="bottom"/>
            <w:gridSpan w:val="13"/>
          </w:tcPr>
          <w:p>
            <w:pPr>
              <w:ind w:left="100"/>
              <w:spacing w:after="0" w:line="182" w:lineRule="exact"/>
              <w:rPr>
                <w:rFonts w:ascii="Arial" w:cs="Arial" w:eastAsia="Arial" w:hAnsi="Arial"/>
                <w:sz w:val="18"/>
                <w:szCs w:val="18"/>
                <w:color w:val="0563C1"/>
              </w:rPr>
            </w:pPr>
            <w:hyperlink w:anchor="page205">
              <w:r>
                <w:rPr>
                  <w:rFonts w:ascii="Arial" w:cs="Arial" w:eastAsia="Arial" w:hAnsi="Arial"/>
                  <w:sz w:val="18"/>
                  <w:szCs w:val="18"/>
                  <w:color w:val="0563C1"/>
                </w:rPr>
                <w:t>13a-14(a)</w:t>
              </w:r>
            </w:hyperlink>
          </w:p>
        </w:tc>
        <w:tc>
          <w:tcPr>
            <w:tcW w:w="9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5180" w:type="dxa"/>
            <w:vAlign w:val="bottom"/>
            <w:tcBorders>
              <w:top w:val="single" w:sz="8" w:color="0563C1"/>
            </w:tcBorders>
            <w:gridSpan w:val="15"/>
          </w:tcPr>
          <w:p>
            <w:pPr>
              <w:spacing w:after="0" w:line="156" w:lineRule="exact"/>
              <w:rPr>
                <w:rFonts w:ascii="Arial" w:cs="Arial" w:eastAsia="Arial" w:hAnsi="Arial"/>
                <w:sz w:val="18"/>
                <w:szCs w:val="18"/>
                <w:color w:val="0563C1"/>
                <w:w w:val="92"/>
              </w:rPr>
            </w:pPr>
            <w:hyperlink w:anchor="page205">
              <w:r>
                <w:rPr>
                  <w:rFonts w:ascii="Arial" w:cs="Arial" w:eastAsia="Arial" w:hAnsi="Arial"/>
                  <w:sz w:val="18"/>
                  <w:szCs w:val="18"/>
                  <w:color w:val="0563C1"/>
                  <w:w w:val="92"/>
                </w:rPr>
                <w:t>and 15d-14(a) under the Securities Exchange Act of 1934, as Adopted</w:t>
              </w:r>
            </w:hyperlink>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760" w:type="dxa"/>
            <w:vAlign w:val="bottom"/>
            <w:vMerge w:val="restart"/>
          </w:tcPr>
          <w:p>
            <w:pPr>
              <w:ind w:left="16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14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4320" w:type="dxa"/>
            <w:vAlign w:val="bottom"/>
            <w:tcBorders>
              <w:top w:val="single" w:sz="8" w:color="0563C1"/>
              <w:bottom w:val="single" w:sz="8" w:color="0563C1"/>
            </w:tcBorders>
            <w:gridSpan w:val="6"/>
          </w:tcPr>
          <w:p>
            <w:pPr>
              <w:spacing w:after="0" w:line="156" w:lineRule="exact"/>
              <w:rPr>
                <w:rFonts w:ascii="Arial" w:cs="Arial" w:eastAsia="Arial" w:hAnsi="Arial"/>
                <w:sz w:val="18"/>
                <w:szCs w:val="18"/>
                <w:color w:val="0563C1"/>
                <w:w w:val="90"/>
              </w:rPr>
            </w:pPr>
            <w:hyperlink w:anchor="page205">
              <w:r>
                <w:rPr>
                  <w:rFonts w:ascii="Arial" w:cs="Arial" w:eastAsia="Arial" w:hAnsi="Arial"/>
                  <w:sz w:val="18"/>
                  <w:szCs w:val="18"/>
                  <w:color w:val="0563C1"/>
                  <w:w w:val="90"/>
                </w:rPr>
                <w:t>Pursuant to Section 302 of the Sarbanes-Oxley Act of 2002.</w:t>
              </w:r>
            </w:hyperlink>
          </w:p>
        </w:tc>
        <w:tc>
          <w:tcPr>
            <w:tcW w:w="780" w:type="dxa"/>
            <w:vAlign w:val="bottom"/>
            <w:tcBorders>
              <w:top w:val="single" w:sz="8" w:color="0563C1"/>
            </w:tcBorders>
            <w:gridSpan w:val="7"/>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4320" w:type="dxa"/>
            <w:vAlign w:val="bottom"/>
            <w:gridSpan w:val="6"/>
          </w:tcPr>
          <w:p>
            <w:pPr>
              <w:spacing w:after="0" w:line="182" w:lineRule="exact"/>
              <w:rPr>
                <w:rFonts w:ascii="Arial" w:cs="Arial" w:eastAsia="Arial" w:hAnsi="Arial"/>
                <w:sz w:val="18"/>
                <w:szCs w:val="18"/>
                <w:color w:val="0563C1"/>
                <w:w w:val="95"/>
              </w:rPr>
            </w:pPr>
            <w:hyperlink w:anchor="page206">
              <w:r>
                <w:rPr>
                  <w:rFonts w:ascii="Arial" w:cs="Arial" w:eastAsia="Arial" w:hAnsi="Arial"/>
                  <w:sz w:val="18"/>
                  <w:szCs w:val="18"/>
                  <w:color w:val="0563C1"/>
                  <w:w w:val="95"/>
                </w:rPr>
                <w:t>Certification of Principal Executive Officer Pursuant to 18</w:t>
              </w:r>
            </w:hyperlink>
          </w:p>
        </w:tc>
        <w:tc>
          <w:tcPr>
            <w:tcW w:w="1040" w:type="dxa"/>
            <w:vAlign w:val="bottom"/>
            <w:gridSpan w:val="13"/>
          </w:tcPr>
          <w:p>
            <w:pPr>
              <w:spacing w:after="0" w:line="182" w:lineRule="exact"/>
              <w:rPr>
                <w:rFonts w:ascii="Arial" w:cs="Arial" w:eastAsia="Arial" w:hAnsi="Arial"/>
                <w:sz w:val="18"/>
                <w:szCs w:val="18"/>
                <w:color w:val="0563C1"/>
                <w:w w:val="86"/>
              </w:rPr>
            </w:pPr>
            <w:hyperlink w:anchor="page206">
              <w:r>
                <w:rPr>
                  <w:rFonts w:ascii="Arial" w:cs="Arial" w:eastAsia="Arial" w:hAnsi="Arial"/>
                  <w:sz w:val="18"/>
                  <w:szCs w:val="18"/>
                  <w:color w:val="0563C1"/>
                  <w:w w:val="86"/>
                </w:rPr>
                <w:t>U.S.C. Section</w:t>
              </w:r>
            </w:hyperlink>
          </w:p>
        </w:tc>
        <w:tc>
          <w:tcPr>
            <w:tcW w:w="9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5360" w:type="dxa"/>
            <w:vAlign w:val="bottom"/>
            <w:tcBorders>
              <w:top w:val="single" w:sz="8" w:color="0563C1"/>
            </w:tcBorders>
            <w:gridSpan w:val="19"/>
          </w:tcPr>
          <w:p>
            <w:pPr>
              <w:spacing w:after="0" w:line="156" w:lineRule="exact"/>
              <w:rPr>
                <w:rFonts w:ascii="Arial" w:cs="Arial" w:eastAsia="Arial" w:hAnsi="Arial"/>
                <w:sz w:val="18"/>
                <w:szCs w:val="18"/>
                <w:color w:val="0563C1"/>
                <w:w w:val="93"/>
              </w:rPr>
            </w:pPr>
            <w:hyperlink w:anchor="page206">
              <w:r>
                <w:rPr>
                  <w:rFonts w:ascii="Arial" w:cs="Arial" w:eastAsia="Arial" w:hAnsi="Arial"/>
                  <w:sz w:val="18"/>
                  <w:szCs w:val="18"/>
                  <w:color w:val="0563C1"/>
                  <w:w w:val="93"/>
                </w:rPr>
                <w:t>1350, as Adopted Pursuant to Section 906 of the Sarbanes-Oxley Act of</w:t>
              </w:r>
            </w:hyperlink>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760" w:type="dxa"/>
            <w:vAlign w:val="bottom"/>
            <w:vMerge w:val="restart"/>
          </w:tcPr>
          <w:p>
            <w:pPr>
              <w:ind w:left="16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14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400" w:type="dxa"/>
            <w:vAlign w:val="bottom"/>
            <w:tcBorders>
              <w:top w:val="single" w:sz="8" w:color="0563C1"/>
              <w:bottom w:val="single" w:sz="8" w:color="0563C1"/>
            </w:tcBorders>
          </w:tcPr>
          <w:p>
            <w:pPr>
              <w:spacing w:after="0" w:line="156" w:lineRule="exact"/>
              <w:rPr>
                <w:rFonts w:ascii="Arial" w:cs="Arial" w:eastAsia="Arial" w:hAnsi="Arial"/>
                <w:sz w:val="18"/>
                <w:szCs w:val="18"/>
                <w:color w:val="0563C1"/>
                <w:w w:val="84"/>
              </w:rPr>
            </w:pPr>
            <w:hyperlink w:anchor="page206">
              <w:r>
                <w:rPr>
                  <w:rFonts w:ascii="Arial" w:cs="Arial" w:eastAsia="Arial" w:hAnsi="Arial"/>
                  <w:sz w:val="18"/>
                  <w:szCs w:val="18"/>
                  <w:color w:val="0563C1"/>
                  <w:w w:val="84"/>
                </w:rPr>
                <w:t>2002.</w:t>
              </w:r>
            </w:hyperlink>
          </w:p>
        </w:tc>
        <w:tc>
          <w:tcPr>
            <w:tcW w:w="1500" w:type="dxa"/>
            <w:vAlign w:val="bottom"/>
            <w:tcBorders>
              <w:top w:val="single" w:sz="8" w:color="0563C1"/>
            </w:tcBorders>
          </w:tcPr>
          <w:p>
            <w:pPr>
              <w:spacing w:after="0"/>
              <w:rPr>
                <w:sz w:val="13"/>
                <w:szCs w:val="13"/>
                <w:color w:val="auto"/>
              </w:rPr>
            </w:pPr>
          </w:p>
        </w:tc>
        <w:tc>
          <w:tcPr>
            <w:tcW w:w="800" w:type="dxa"/>
            <w:vAlign w:val="bottom"/>
            <w:tcBorders>
              <w:top w:val="single" w:sz="8" w:color="0563C1"/>
            </w:tcBorders>
          </w:tcPr>
          <w:p>
            <w:pPr>
              <w:spacing w:after="0"/>
              <w:rPr>
                <w:sz w:val="13"/>
                <w:szCs w:val="13"/>
                <w:color w:val="auto"/>
              </w:rPr>
            </w:pPr>
          </w:p>
        </w:tc>
        <w:tc>
          <w:tcPr>
            <w:tcW w:w="1160" w:type="dxa"/>
            <w:vAlign w:val="bottom"/>
            <w:tcBorders>
              <w:top w:val="single" w:sz="8" w:color="0563C1"/>
            </w:tcBorders>
          </w:tcPr>
          <w:p>
            <w:pPr>
              <w:spacing w:after="0"/>
              <w:rPr>
                <w:sz w:val="13"/>
                <w:szCs w:val="13"/>
                <w:color w:val="auto"/>
              </w:rPr>
            </w:pPr>
          </w:p>
        </w:tc>
        <w:tc>
          <w:tcPr>
            <w:tcW w:w="80" w:type="dxa"/>
            <w:vAlign w:val="bottom"/>
            <w:tcBorders>
              <w:top w:val="single" w:sz="8" w:color="0563C1"/>
            </w:tcBorders>
          </w:tcPr>
          <w:p>
            <w:pPr>
              <w:spacing w:after="0"/>
              <w:rPr>
                <w:sz w:val="13"/>
                <w:szCs w:val="13"/>
                <w:color w:val="auto"/>
              </w:rPr>
            </w:pPr>
          </w:p>
        </w:tc>
        <w:tc>
          <w:tcPr>
            <w:tcW w:w="380" w:type="dxa"/>
            <w:vAlign w:val="bottom"/>
            <w:tcBorders>
              <w:top w:val="single" w:sz="8" w:color="0563C1"/>
            </w:tcBorders>
          </w:tcPr>
          <w:p>
            <w:pPr>
              <w:spacing w:after="0"/>
              <w:rPr>
                <w:sz w:val="13"/>
                <w:szCs w:val="13"/>
                <w:color w:val="auto"/>
              </w:rPr>
            </w:pPr>
          </w:p>
        </w:tc>
        <w:tc>
          <w:tcPr>
            <w:tcW w:w="20" w:type="dxa"/>
            <w:vAlign w:val="bottom"/>
            <w:tcBorders>
              <w:top w:val="single" w:sz="8" w:color="0563C1"/>
            </w:tcBorders>
          </w:tcPr>
          <w:p>
            <w:pPr>
              <w:spacing w:after="0"/>
              <w:rPr>
                <w:sz w:val="13"/>
                <w:szCs w:val="13"/>
                <w:color w:val="auto"/>
              </w:rPr>
            </w:pPr>
          </w:p>
        </w:tc>
        <w:tc>
          <w:tcPr>
            <w:tcW w:w="20" w:type="dxa"/>
            <w:vAlign w:val="bottom"/>
            <w:tcBorders>
              <w:top w:val="single" w:sz="8" w:color="0563C1"/>
            </w:tcBorders>
          </w:tcPr>
          <w:p>
            <w:pPr>
              <w:spacing w:after="0"/>
              <w:rPr>
                <w:sz w:val="13"/>
                <w:szCs w:val="13"/>
                <w:color w:val="auto"/>
              </w:rPr>
            </w:pPr>
          </w:p>
        </w:tc>
        <w:tc>
          <w:tcPr>
            <w:tcW w:w="240" w:type="dxa"/>
            <w:vAlign w:val="bottom"/>
            <w:tcBorders>
              <w:top w:val="single" w:sz="8" w:color="0563C1"/>
            </w:tcBorders>
          </w:tcPr>
          <w:p>
            <w:pPr>
              <w:spacing w:after="0"/>
              <w:rPr>
                <w:sz w:val="13"/>
                <w:szCs w:val="13"/>
                <w:color w:val="auto"/>
              </w:rPr>
            </w:pPr>
          </w:p>
        </w:tc>
        <w:tc>
          <w:tcPr>
            <w:tcW w:w="220" w:type="dxa"/>
            <w:vAlign w:val="bottom"/>
            <w:tcBorders>
              <w:top w:val="single" w:sz="8" w:color="0563C1"/>
            </w:tcBorders>
          </w:tcPr>
          <w:p>
            <w:pPr>
              <w:spacing w:after="0"/>
              <w:rPr>
                <w:sz w:val="13"/>
                <w:szCs w:val="13"/>
                <w:color w:val="auto"/>
              </w:rPr>
            </w:pPr>
          </w:p>
        </w:tc>
        <w:tc>
          <w:tcPr>
            <w:tcW w:w="140" w:type="dxa"/>
            <w:vAlign w:val="bottom"/>
            <w:tcBorders>
              <w:top w:val="single" w:sz="8" w:color="0563C1"/>
            </w:tcBorders>
          </w:tcPr>
          <w:p>
            <w:pPr>
              <w:spacing w:after="0"/>
              <w:rPr>
                <w:sz w:val="13"/>
                <w:szCs w:val="13"/>
                <w:color w:val="auto"/>
              </w:rPr>
            </w:pPr>
          </w:p>
        </w:tc>
        <w:tc>
          <w:tcPr>
            <w:tcW w:w="20" w:type="dxa"/>
            <w:vAlign w:val="bottom"/>
            <w:tcBorders>
              <w:top w:val="single" w:sz="8" w:color="0563C1"/>
            </w:tcBorders>
          </w:tcPr>
          <w:p>
            <w:pPr>
              <w:spacing w:after="0"/>
              <w:rPr>
                <w:sz w:val="13"/>
                <w:szCs w:val="13"/>
                <w:color w:val="auto"/>
              </w:rPr>
            </w:pPr>
          </w:p>
        </w:tc>
        <w:tc>
          <w:tcPr>
            <w:tcW w:w="120" w:type="dxa"/>
            <w:vAlign w:val="bottom"/>
            <w:tcBorders>
              <w:top w:val="single" w:sz="8" w:color="0563C1"/>
            </w:tcBorders>
          </w:tcPr>
          <w:p>
            <w:pPr>
              <w:spacing w:after="0"/>
              <w:rPr>
                <w:sz w:val="13"/>
                <w:szCs w:val="13"/>
                <w:color w:val="auto"/>
              </w:rPr>
            </w:pPr>
          </w:p>
        </w:tc>
        <w:tc>
          <w:tcPr>
            <w:tcW w:w="60" w:type="dxa"/>
            <w:vAlign w:val="bottom"/>
            <w:tcBorders>
              <w:top w:val="single" w:sz="8" w:color="0563C1"/>
            </w:tcBorders>
          </w:tcPr>
          <w:p>
            <w:pPr>
              <w:spacing w:after="0"/>
              <w:rPr>
                <w:sz w:val="13"/>
                <w:szCs w:val="13"/>
                <w:color w:val="auto"/>
              </w:rPr>
            </w:pPr>
          </w:p>
        </w:tc>
        <w:tc>
          <w:tcPr>
            <w:tcW w:w="20" w:type="dxa"/>
            <w:vAlign w:val="bottom"/>
            <w:tcBorders>
              <w:top w:val="single" w:sz="8" w:color="0563C1"/>
            </w:tcBorders>
          </w:tcPr>
          <w:p>
            <w:pPr>
              <w:spacing w:after="0"/>
              <w:rPr>
                <w:sz w:val="13"/>
                <w:szCs w:val="13"/>
                <w:color w:val="auto"/>
              </w:rPr>
            </w:pPr>
          </w:p>
        </w:tc>
        <w:tc>
          <w:tcPr>
            <w:tcW w:w="40" w:type="dxa"/>
            <w:vAlign w:val="bottom"/>
            <w:tcBorders>
              <w:top w:val="single" w:sz="8" w:color="0563C1"/>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5360" w:type="dxa"/>
            <w:vAlign w:val="bottom"/>
            <w:gridSpan w:val="19"/>
          </w:tcPr>
          <w:p>
            <w:pPr>
              <w:spacing w:after="0" w:line="182" w:lineRule="exact"/>
              <w:rPr>
                <w:rFonts w:ascii="Arial" w:cs="Arial" w:eastAsia="Arial" w:hAnsi="Arial"/>
                <w:sz w:val="18"/>
                <w:szCs w:val="18"/>
                <w:color w:val="0563C1"/>
                <w:w w:val="93"/>
              </w:rPr>
            </w:pPr>
            <w:hyperlink w:anchor="page207">
              <w:r>
                <w:rPr>
                  <w:rFonts w:ascii="Arial" w:cs="Arial" w:eastAsia="Arial" w:hAnsi="Arial"/>
                  <w:sz w:val="18"/>
                  <w:szCs w:val="18"/>
                  <w:color w:val="0563C1"/>
                  <w:w w:val="93"/>
                </w:rPr>
                <w:t>Certification of Principal Financial Officer Pursuant to 18 U.S.C. Section</w:t>
              </w:r>
            </w:hyperlink>
          </w:p>
        </w:tc>
        <w:tc>
          <w:tcPr>
            <w:tcW w:w="9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5320" w:type="dxa"/>
            <w:vAlign w:val="bottom"/>
            <w:tcBorders>
              <w:top w:val="single" w:sz="8" w:color="0563C1"/>
            </w:tcBorders>
            <w:gridSpan w:val="17"/>
          </w:tcPr>
          <w:p>
            <w:pPr>
              <w:spacing w:after="0" w:line="156" w:lineRule="exact"/>
              <w:rPr>
                <w:rFonts w:ascii="Arial" w:cs="Arial" w:eastAsia="Arial" w:hAnsi="Arial"/>
                <w:sz w:val="18"/>
                <w:szCs w:val="18"/>
                <w:color w:val="0563C1"/>
                <w:w w:val="92"/>
              </w:rPr>
            </w:pPr>
            <w:hyperlink w:anchor="page207">
              <w:r>
                <w:rPr>
                  <w:rFonts w:ascii="Arial" w:cs="Arial" w:eastAsia="Arial" w:hAnsi="Arial"/>
                  <w:sz w:val="18"/>
                  <w:szCs w:val="18"/>
                  <w:color w:val="0563C1"/>
                  <w:w w:val="92"/>
                </w:rPr>
                <w:t>1350, as Adopted Pursuant to Section 906 of the Sarbanes-Oxley Act of</w:t>
              </w:r>
            </w:hyperlink>
          </w:p>
        </w:tc>
        <w:tc>
          <w:tcPr>
            <w:tcW w:w="4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760" w:type="dxa"/>
            <w:vAlign w:val="bottom"/>
            <w:vMerge w:val="restart"/>
          </w:tcPr>
          <w:p>
            <w:pPr>
              <w:ind w:left="16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400" w:type="dxa"/>
            <w:vAlign w:val="bottom"/>
            <w:tcBorders>
              <w:top w:val="single" w:sz="8" w:color="0563C1"/>
              <w:bottom w:val="single" w:sz="8" w:color="0563C1"/>
            </w:tcBorders>
          </w:tcPr>
          <w:p>
            <w:pPr>
              <w:spacing w:after="0" w:line="156" w:lineRule="exact"/>
              <w:rPr>
                <w:rFonts w:ascii="Arial" w:cs="Arial" w:eastAsia="Arial" w:hAnsi="Arial"/>
                <w:sz w:val="18"/>
                <w:szCs w:val="18"/>
                <w:color w:val="0563C1"/>
                <w:w w:val="84"/>
              </w:rPr>
            </w:pPr>
            <w:hyperlink w:anchor="page207">
              <w:r>
                <w:rPr>
                  <w:rFonts w:ascii="Arial" w:cs="Arial" w:eastAsia="Arial" w:hAnsi="Arial"/>
                  <w:sz w:val="18"/>
                  <w:szCs w:val="18"/>
                  <w:color w:val="0563C1"/>
                  <w:w w:val="84"/>
                </w:rPr>
                <w:t>2002.</w:t>
              </w:r>
            </w:hyperlink>
          </w:p>
        </w:tc>
        <w:tc>
          <w:tcPr>
            <w:tcW w:w="1500" w:type="dxa"/>
            <w:vAlign w:val="bottom"/>
            <w:tcBorders>
              <w:top w:val="single" w:sz="8" w:color="0563C1"/>
            </w:tcBorders>
          </w:tcPr>
          <w:p>
            <w:pPr>
              <w:spacing w:after="0"/>
              <w:rPr>
                <w:sz w:val="13"/>
                <w:szCs w:val="13"/>
                <w:color w:val="auto"/>
              </w:rPr>
            </w:pPr>
          </w:p>
        </w:tc>
        <w:tc>
          <w:tcPr>
            <w:tcW w:w="800" w:type="dxa"/>
            <w:vAlign w:val="bottom"/>
            <w:tcBorders>
              <w:top w:val="single" w:sz="8" w:color="0563C1"/>
            </w:tcBorders>
          </w:tcPr>
          <w:p>
            <w:pPr>
              <w:spacing w:after="0"/>
              <w:rPr>
                <w:sz w:val="13"/>
                <w:szCs w:val="13"/>
                <w:color w:val="auto"/>
              </w:rPr>
            </w:pPr>
          </w:p>
        </w:tc>
        <w:tc>
          <w:tcPr>
            <w:tcW w:w="1160" w:type="dxa"/>
            <w:vAlign w:val="bottom"/>
            <w:tcBorders>
              <w:top w:val="single" w:sz="8" w:color="0563C1"/>
            </w:tcBorders>
          </w:tcPr>
          <w:p>
            <w:pPr>
              <w:spacing w:after="0"/>
              <w:rPr>
                <w:sz w:val="13"/>
                <w:szCs w:val="13"/>
                <w:color w:val="auto"/>
              </w:rPr>
            </w:pPr>
          </w:p>
        </w:tc>
        <w:tc>
          <w:tcPr>
            <w:tcW w:w="80" w:type="dxa"/>
            <w:vAlign w:val="bottom"/>
            <w:tcBorders>
              <w:top w:val="single" w:sz="8" w:color="0563C1"/>
            </w:tcBorders>
          </w:tcPr>
          <w:p>
            <w:pPr>
              <w:spacing w:after="0"/>
              <w:rPr>
                <w:sz w:val="13"/>
                <w:szCs w:val="13"/>
                <w:color w:val="auto"/>
              </w:rPr>
            </w:pPr>
          </w:p>
        </w:tc>
        <w:tc>
          <w:tcPr>
            <w:tcW w:w="380" w:type="dxa"/>
            <w:vAlign w:val="bottom"/>
            <w:tcBorders>
              <w:top w:val="single" w:sz="8" w:color="0563C1"/>
            </w:tcBorders>
          </w:tcPr>
          <w:p>
            <w:pPr>
              <w:spacing w:after="0"/>
              <w:rPr>
                <w:sz w:val="13"/>
                <w:szCs w:val="13"/>
                <w:color w:val="auto"/>
              </w:rPr>
            </w:pPr>
          </w:p>
        </w:tc>
        <w:tc>
          <w:tcPr>
            <w:tcW w:w="20" w:type="dxa"/>
            <w:vAlign w:val="bottom"/>
            <w:tcBorders>
              <w:top w:val="single" w:sz="8" w:color="0563C1"/>
            </w:tcBorders>
          </w:tcPr>
          <w:p>
            <w:pPr>
              <w:spacing w:after="0"/>
              <w:rPr>
                <w:sz w:val="13"/>
                <w:szCs w:val="13"/>
                <w:color w:val="auto"/>
              </w:rPr>
            </w:pPr>
          </w:p>
        </w:tc>
        <w:tc>
          <w:tcPr>
            <w:tcW w:w="20" w:type="dxa"/>
            <w:vAlign w:val="bottom"/>
            <w:tcBorders>
              <w:top w:val="single" w:sz="8" w:color="0563C1"/>
            </w:tcBorders>
          </w:tcPr>
          <w:p>
            <w:pPr>
              <w:spacing w:after="0"/>
              <w:rPr>
                <w:sz w:val="13"/>
                <w:szCs w:val="13"/>
                <w:color w:val="auto"/>
              </w:rPr>
            </w:pPr>
          </w:p>
        </w:tc>
        <w:tc>
          <w:tcPr>
            <w:tcW w:w="240" w:type="dxa"/>
            <w:vAlign w:val="bottom"/>
            <w:tcBorders>
              <w:top w:val="single" w:sz="8" w:color="0563C1"/>
            </w:tcBorders>
          </w:tcPr>
          <w:p>
            <w:pPr>
              <w:spacing w:after="0"/>
              <w:rPr>
                <w:sz w:val="13"/>
                <w:szCs w:val="13"/>
                <w:color w:val="auto"/>
              </w:rPr>
            </w:pPr>
          </w:p>
        </w:tc>
        <w:tc>
          <w:tcPr>
            <w:tcW w:w="220" w:type="dxa"/>
            <w:vAlign w:val="bottom"/>
            <w:tcBorders>
              <w:top w:val="single" w:sz="8" w:color="0563C1"/>
            </w:tcBorders>
          </w:tcPr>
          <w:p>
            <w:pPr>
              <w:spacing w:after="0"/>
              <w:rPr>
                <w:sz w:val="13"/>
                <w:szCs w:val="13"/>
                <w:color w:val="auto"/>
              </w:rPr>
            </w:pPr>
          </w:p>
        </w:tc>
        <w:tc>
          <w:tcPr>
            <w:tcW w:w="140" w:type="dxa"/>
            <w:vAlign w:val="bottom"/>
            <w:tcBorders>
              <w:top w:val="single" w:sz="8" w:color="0563C1"/>
            </w:tcBorders>
          </w:tcPr>
          <w:p>
            <w:pPr>
              <w:spacing w:after="0"/>
              <w:rPr>
                <w:sz w:val="13"/>
                <w:szCs w:val="13"/>
                <w:color w:val="auto"/>
              </w:rPr>
            </w:pPr>
          </w:p>
        </w:tc>
        <w:tc>
          <w:tcPr>
            <w:tcW w:w="20" w:type="dxa"/>
            <w:vAlign w:val="bottom"/>
            <w:tcBorders>
              <w:top w:val="single" w:sz="8" w:color="0563C1"/>
            </w:tcBorders>
          </w:tcPr>
          <w:p>
            <w:pPr>
              <w:spacing w:after="0"/>
              <w:rPr>
                <w:sz w:val="13"/>
                <w:szCs w:val="13"/>
                <w:color w:val="auto"/>
              </w:rPr>
            </w:pPr>
          </w:p>
        </w:tc>
        <w:tc>
          <w:tcPr>
            <w:tcW w:w="120" w:type="dxa"/>
            <w:vAlign w:val="bottom"/>
            <w:tcBorders>
              <w:top w:val="single" w:sz="8" w:color="0563C1"/>
            </w:tcBorders>
          </w:tcPr>
          <w:p>
            <w:pPr>
              <w:spacing w:after="0"/>
              <w:rPr>
                <w:sz w:val="13"/>
                <w:szCs w:val="13"/>
                <w:color w:val="auto"/>
              </w:rPr>
            </w:pPr>
          </w:p>
        </w:tc>
        <w:tc>
          <w:tcPr>
            <w:tcW w:w="60" w:type="dxa"/>
            <w:vAlign w:val="bottom"/>
            <w:tcBorders>
              <w:top w:val="single" w:sz="8" w:color="0563C1"/>
            </w:tcBorders>
          </w:tcPr>
          <w:p>
            <w:pPr>
              <w:spacing w:after="0"/>
              <w:rPr>
                <w:sz w:val="13"/>
                <w:szCs w:val="13"/>
                <w:color w:val="auto"/>
              </w:rPr>
            </w:pPr>
          </w:p>
        </w:tc>
        <w:tc>
          <w:tcPr>
            <w:tcW w:w="20" w:type="dxa"/>
            <w:vAlign w:val="bottom"/>
            <w:tcBorders>
              <w:top w:val="single" w:sz="8" w:color="0563C1"/>
            </w:tcBorders>
          </w:tcPr>
          <w:p>
            <w:pPr>
              <w:spacing w:after="0"/>
              <w:rPr>
                <w:sz w:val="13"/>
                <w:szCs w:val="13"/>
                <w:color w:val="auto"/>
              </w:rPr>
            </w:pPr>
          </w:p>
        </w:tc>
        <w:tc>
          <w:tcPr>
            <w:tcW w:w="40" w:type="dxa"/>
            <w:vAlign w:val="bottom"/>
            <w:tcBorders>
              <w:top w:val="single" w:sz="8" w:color="0563C1"/>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101.INS</w:t>
            </w:r>
          </w:p>
        </w:tc>
        <w:tc>
          <w:tcPr>
            <w:tcW w:w="400" w:type="dxa"/>
            <w:vAlign w:val="bottom"/>
          </w:tcPr>
          <w:p>
            <w:pPr>
              <w:spacing w:after="0" w:line="195" w:lineRule="exact"/>
              <w:rPr>
                <w:sz w:val="20"/>
                <w:szCs w:val="20"/>
                <w:color w:val="auto"/>
              </w:rPr>
            </w:pPr>
            <w:r>
              <w:rPr>
                <w:rFonts w:ascii="Arial" w:cs="Arial" w:eastAsia="Arial" w:hAnsi="Arial"/>
                <w:sz w:val="18"/>
                <w:szCs w:val="18"/>
                <w:color w:val="auto"/>
                <w:w w:val="80"/>
              </w:rPr>
              <w:t>XBRL</w:t>
            </w:r>
          </w:p>
        </w:tc>
        <w:tc>
          <w:tcPr>
            <w:tcW w:w="4960" w:type="dxa"/>
            <w:vAlign w:val="bottom"/>
            <w:gridSpan w:val="18"/>
          </w:tcPr>
          <w:p>
            <w:pPr>
              <w:ind w:left="120"/>
              <w:spacing w:after="0" w:line="195" w:lineRule="exact"/>
              <w:rPr>
                <w:sz w:val="20"/>
                <w:szCs w:val="20"/>
                <w:color w:val="auto"/>
              </w:rPr>
            </w:pPr>
            <w:r>
              <w:rPr>
                <w:rFonts w:ascii="Arial" w:cs="Arial" w:eastAsia="Arial" w:hAnsi="Arial"/>
                <w:sz w:val="18"/>
                <w:szCs w:val="18"/>
                <w:color w:val="auto"/>
              </w:rPr>
              <w:t>Instance Document.</w:t>
            </w:r>
          </w:p>
        </w:tc>
        <w:tc>
          <w:tcPr>
            <w:tcW w:w="9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60" w:type="dxa"/>
            <w:vAlign w:val="bottom"/>
          </w:tcPr>
          <w:p>
            <w:pPr>
              <w:ind w:left="1620"/>
              <w:spacing w:after="0" w:line="195"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3"/>
        </w:trPr>
        <w:tc>
          <w:tcPr>
            <w:tcW w:w="114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5360" w:type="dxa"/>
            <w:vAlign w:val="bottom"/>
            <w:gridSpan w:val="19"/>
          </w:tcPr>
          <w:p>
            <w:pPr>
              <w:spacing w:after="0" w:line="202" w:lineRule="exact"/>
              <w:rPr>
                <w:sz w:val="20"/>
                <w:szCs w:val="20"/>
                <w:color w:val="auto"/>
              </w:rPr>
            </w:pPr>
            <w:r>
              <w:rPr>
                <w:rFonts w:ascii="Arial" w:cs="Arial" w:eastAsia="Arial" w:hAnsi="Arial"/>
                <w:sz w:val="18"/>
                <w:szCs w:val="18"/>
                <w:color w:val="auto"/>
              </w:rPr>
              <w:t>XBRL Taxonomy Extension Schema Document.</w:t>
            </w:r>
          </w:p>
        </w:tc>
        <w:tc>
          <w:tcPr>
            <w:tcW w:w="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60" w:type="dxa"/>
            <w:vAlign w:val="bottom"/>
          </w:tcPr>
          <w:p>
            <w:pPr>
              <w:ind w:left="1620"/>
              <w:spacing w:after="0" w:line="20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3"/>
        </w:trPr>
        <w:tc>
          <w:tcPr>
            <w:tcW w:w="114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5360" w:type="dxa"/>
            <w:vAlign w:val="bottom"/>
            <w:gridSpan w:val="19"/>
          </w:tcPr>
          <w:p>
            <w:pPr>
              <w:spacing w:after="0" w:line="202" w:lineRule="exact"/>
              <w:rPr>
                <w:sz w:val="20"/>
                <w:szCs w:val="20"/>
                <w:color w:val="auto"/>
              </w:rPr>
            </w:pPr>
            <w:r>
              <w:rPr>
                <w:rFonts w:ascii="Arial" w:cs="Arial" w:eastAsia="Arial" w:hAnsi="Arial"/>
                <w:sz w:val="18"/>
                <w:szCs w:val="18"/>
                <w:color w:val="auto"/>
              </w:rPr>
              <w:t>XBRL Taxonomy Extension Calculation Linkbase Document.</w:t>
            </w:r>
          </w:p>
        </w:tc>
        <w:tc>
          <w:tcPr>
            <w:tcW w:w="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60" w:type="dxa"/>
            <w:vAlign w:val="bottom"/>
          </w:tcPr>
          <w:p>
            <w:pPr>
              <w:ind w:left="1620"/>
              <w:spacing w:after="0" w:line="20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3"/>
        </w:trPr>
        <w:tc>
          <w:tcPr>
            <w:tcW w:w="114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5360" w:type="dxa"/>
            <w:vAlign w:val="bottom"/>
            <w:gridSpan w:val="19"/>
          </w:tcPr>
          <w:p>
            <w:pPr>
              <w:spacing w:after="0" w:line="202" w:lineRule="exact"/>
              <w:rPr>
                <w:sz w:val="20"/>
                <w:szCs w:val="20"/>
                <w:color w:val="auto"/>
              </w:rPr>
            </w:pPr>
            <w:r>
              <w:rPr>
                <w:rFonts w:ascii="Arial" w:cs="Arial" w:eastAsia="Arial" w:hAnsi="Arial"/>
                <w:sz w:val="18"/>
                <w:szCs w:val="18"/>
                <w:color w:val="auto"/>
              </w:rPr>
              <w:t>XBRL Taxonomy Extension Definition Linkbase Document.</w:t>
            </w:r>
          </w:p>
        </w:tc>
        <w:tc>
          <w:tcPr>
            <w:tcW w:w="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60" w:type="dxa"/>
            <w:vAlign w:val="bottom"/>
          </w:tcPr>
          <w:p>
            <w:pPr>
              <w:ind w:left="1620"/>
              <w:spacing w:after="0" w:line="20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3"/>
        </w:trPr>
        <w:tc>
          <w:tcPr>
            <w:tcW w:w="114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5360" w:type="dxa"/>
            <w:vAlign w:val="bottom"/>
            <w:gridSpan w:val="19"/>
          </w:tcPr>
          <w:p>
            <w:pPr>
              <w:spacing w:after="0" w:line="202" w:lineRule="exact"/>
              <w:rPr>
                <w:sz w:val="20"/>
                <w:szCs w:val="20"/>
                <w:color w:val="auto"/>
              </w:rPr>
            </w:pPr>
            <w:r>
              <w:rPr>
                <w:rFonts w:ascii="Arial" w:cs="Arial" w:eastAsia="Arial" w:hAnsi="Arial"/>
                <w:sz w:val="18"/>
                <w:szCs w:val="18"/>
                <w:color w:val="auto"/>
              </w:rPr>
              <w:t>XBRL Taxonomy Extension Label Linkbase Document.</w:t>
            </w:r>
          </w:p>
        </w:tc>
        <w:tc>
          <w:tcPr>
            <w:tcW w:w="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60" w:type="dxa"/>
            <w:vAlign w:val="bottom"/>
          </w:tcPr>
          <w:p>
            <w:pPr>
              <w:ind w:left="1620"/>
              <w:spacing w:after="0" w:line="20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3"/>
        </w:trPr>
        <w:tc>
          <w:tcPr>
            <w:tcW w:w="1140" w:type="dxa"/>
            <w:vAlign w:val="bottom"/>
          </w:tcPr>
          <w:p>
            <w:pPr>
              <w:spacing w:after="0" w:line="202" w:lineRule="exact"/>
              <w:rPr>
                <w:sz w:val="20"/>
                <w:szCs w:val="20"/>
                <w:color w:val="auto"/>
              </w:rPr>
            </w:pPr>
            <w:r>
              <w:rPr>
                <w:rFonts w:ascii="Arial" w:cs="Arial" w:eastAsia="Arial" w:hAnsi="Arial"/>
                <w:sz w:val="18"/>
                <w:szCs w:val="18"/>
                <w:color w:val="auto"/>
              </w:rPr>
              <w:t>101.PRE</w:t>
            </w:r>
          </w:p>
        </w:tc>
        <w:tc>
          <w:tcPr>
            <w:tcW w:w="5360" w:type="dxa"/>
            <w:vAlign w:val="bottom"/>
            <w:gridSpan w:val="19"/>
          </w:tcPr>
          <w:p>
            <w:pPr>
              <w:spacing w:after="0" w:line="202" w:lineRule="exact"/>
              <w:rPr>
                <w:sz w:val="20"/>
                <w:szCs w:val="20"/>
                <w:color w:val="auto"/>
              </w:rPr>
            </w:pPr>
            <w:r>
              <w:rPr>
                <w:rFonts w:ascii="Arial" w:cs="Arial" w:eastAsia="Arial" w:hAnsi="Arial"/>
                <w:sz w:val="18"/>
                <w:szCs w:val="18"/>
                <w:color w:val="auto"/>
              </w:rPr>
              <w:t>XBRL Taxonomy Extension Presentation Linkbase Document.</w:t>
            </w:r>
          </w:p>
        </w:tc>
        <w:tc>
          <w:tcPr>
            <w:tcW w:w="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60" w:type="dxa"/>
            <w:vAlign w:val="bottom"/>
          </w:tcPr>
          <w:p>
            <w:pPr>
              <w:ind w:left="1620"/>
              <w:spacing w:after="0" w:line="20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104</w:t>
            </w:r>
          </w:p>
        </w:tc>
        <w:tc>
          <w:tcPr>
            <w:tcW w:w="5360" w:type="dxa"/>
            <w:vAlign w:val="bottom"/>
            <w:gridSpan w:val="19"/>
          </w:tcPr>
          <w:p>
            <w:pPr>
              <w:spacing w:after="0" w:line="176" w:lineRule="exact"/>
              <w:rPr>
                <w:sz w:val="20"/>
                <w:szCs w:val="20"/>
                <w:color w:val="auto"/>
              </w:rPr>
            </w:pPr>
            <w:r>
              <w:rPr>
                <w:rFonts w:ascii="Arial" w:cs="Arial" w:eastAsia="Arial" w:hAnsi="Arial"/>
                <w:sz w:val="18"/>
                <w:szCs w:val="18"/>
                <w:color w:val="auto"/>
                <w:w w:val="91"/>
              </w:rPr>
              <w:t>The cover page from the Company’s Annual Report on Form 10-K for the</w:t>
            </w:r>
          </w:p>
        </w:tc>
        <w:tc>
          <w:tcPr>
            <w:tcW w:w="9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60" w:type="dxa"/>
            <w:vAlign w:val="bottom"/>
            <w:vMerge w:val="restart"/>
          </w:tcPr>
          <w:p>
            <w:pPr>
              <w:ind w:left="16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360" w:type="dxa"/>
            <w:vAlign w:val="bottom"/>
            <w:gridSpan w:val="19"/>
          </w:tcPr>
          <w:p>
            <w:pPr>
              <w:spacing w:after="0"/>
              <w:rPr>
                <w:sz w:val="20"/>
                <w:szCs w:val="20"/>
                <w:color w:val="auto"/>
              </w:rPr>
            </w:pPr>
            <w:r>
              <w:rPr>
                <w:rFonts w:ascii="Arial" w:cs="Arial" w:eastAsia="Arial" w:hAnsi="Arial"/>
                <w:sz w:val="18"/>
                <w:szCs w:val="18"/>
                <w:color w:val="auto"/>
              </w:rPr>
              <w:t>year ended December 31, 2021 has been formatted in Inline XBRL</w:t>
            </w:r>
          </w:p>
        </w:tc>
        <w:tc>
          <w:tcPr>
            <w:tcW w:w="9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firstLine="8"/>
        <w:spacing w:after="0" w:line="244" w:lineRule="auto"/>
        <w:tabs>
          <w:tab w:leader="none" w:pos="135" w:val="left"/>
        </w:tabs>
        <w:numPr>
          <w:ilvl w:val="0"/>
          <w:numId w:val="67"/>
        </w:numPr>
        <w:rPr>
          <w:rFonts w:ascii="Arial" w:cs="Arial" w:eastAsia="Arial" w:hAnsi="Arial"/>
          <w:sz w:val="18"/>
          <w:szCs w:val="18"/>
          <w:color w:val="auto"/>
        </w:rPr>
      </w:pPr>
      <w:r>
        <w:rPr>
          <w:rFonts w:ascii="Arial" w:cs="Arial" w:eastAsia="Arial" w:hAnsi="Arial"/>
          <w:sz w:val="18"/>
          <w:szCs w:val="18"/>
          <w:color w:val="auto"/>
        </w:rPr>
        <w:t>Portions of the exhibit, marked by brackets, have been omitted because the omitted information (i) is not material and (ii) is the type of information that the registrant both customarily and actually treats as private and confidential.</w:t>
      </w:r>
    </w:p>
    <w:p>
      <w:pPr>
        <w:spacing w:after="0" w:line="234" w:lineRule="auto"/>
        <w:rPr>
          <w:rFonts w:ascii="Arial" w:cs="Arial" w:eastAsia="Arial" w:hAnsi="Arial"/>
          <w:sz w:val="18"/>
          <w:szCs w:val="18"/>
          <w:color w:val="auto"/>
        </w:rPr>
      </w:pPr>
      <w:r>
        <w:rPr>
          <w:rFonts w:ascii="Arial" w:cs="Arial" w:eastAsia="Arial" w:hAnsi="Arial"/>
          <w:sz w:val="18"/>
          <w:szCs w:val="18"/>
          <w:color w:val="auto"/>
        </w:rPr>
        <w:t># Indicates management contract or compensatory plan.</w:t>
      </w:r>
    </w:p>
    <w:p>
      <w:pPr>
        <w:ind w:right="120"/>
        <w:spacing w:after="0" w:line="238" w:lineRule="auto"/>
        <w:rPr>
          <w:rFonts w:ascii="Arial" w:cs="Arial" w:eastAsia="Arial" w:hAnsi="Arial"/>
          <w:sz w:val="18"/>
          <w:szCs w:val="18"/>
          <w:color w:val="auto"/>
        </w:rPr>
      </w:pPr>
      <w:r>
        <w:rPr>
          <w:rFonts w:ascii="Arial" w:cs="Arial" w:eastAsia="Arial" w:hAnsi="Arial"/>
          <w:sz w:val="18"/>
          <w:szCs w:val="18"/>
          <w:color w:val="auto"/>
        </w:rPr>
        <w:t>* The certifications attached as Exhibits 32.1 and 32.2 that accompany this Annual Report on Form 10-K, are deemed furnished and not filed with the Securities and Exchange Commission and are not to be incorporated by reference into any filing of Aligos Therapeutics,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-916305</wp:posOffset>
            </wp:positionV>
            <wp:extent cx="190309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11" w:right="49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60"/>
              <w:spacing w:after="0"/>
              <w:rPr>
                <w:sz w:val="20"/>
                <w:szCs w:val="20"/>
                <w:color w:val="auto"/>
              </w:rPr>
            </w:pPr>
            <w:r>
              <w:rPr>
                <w:rFonts w:ascii="Arial" w:cs="Arial" w:eastAsia="Arial" w:hAnsi="Arial"/>
                <w:sz w:val="18"/>
                <w:szCs w:val="18"/>
                <w:b w:val="1"/>
                <w:bCs w:val="1"/>
                <w:color w:val="auto"/>
              </w:rPr>
              <w:t>Aligos Therapeutics, Inc.</w:t>
            </w:r>
          </w:p>
        </w:tc>
      </w:tr>
      <w:tr>
        <w:trPr>
          <w:trHeight w:val="351"/>
        </w:trPr>
        <w:tc>
          <w:tcPr>
            <w:tcW w:w="3540" w:type="dxa"/>
            <w:vAlign w:val="bottom"/>
          </w:tcPr>
          <w:p>
            <w:pPr>
              <w:ind w:left="20"/>
              <w:spacing w:after="0"/>
              <w:rPr>
                <w:sz w:val="20"/>
                <w:szCs w:val="20"/>
                <w:color w:val="auto"/>
              </w:rPr>
            </w:pPr>
            <w:r>
              <w:rPr>
                <w:rFonts w:ascii="Arial" w:cs="Arial" w:eastAsia="Arial" w:hAnsi="Arial"/>
                <w:sz w:val="18"/>
                <w:szCs w:val="18"/>
                <w:color w:val="auto"/>
              </w:rPr>
              <w:t>Date: March 10, 2022</w:t>
            </w:r>
          </w:p>
        </w:tc>
        <w:tc>
          <w:tcPr>
            <w:tcW w:w="7700" w:type="dxa"/>
            <w:vAlign w:val="bottom"/>
            <w:gridSpan w:val="2"/>
          </w:tcPr>
          <w:p>
            <w:pPr>
              <w:ind w:left="2160"/>
              <w:spacing w:after="0"/>
              <w:rPr>
                <w:sz w:val="20"/>
                <w:szCs w:val="20"/>
                <w:color w:val="auto"/>
              </w:rPr>
            </w:pPr>
            <w:r>
              <w:rPr>
                <w:rFonts w:ascii="Arial" w:cs="Arial" w:eastAsia="Arial" w:hAnsi="Arial"/>
                <w:sz w:val="18"/>
                <w:szCs w:val="18"/>
                <w:color w:val="auto"/>
              </w:rPr>
              <w:t>By:  /s/ Lawrence M. Blatt</w:t>
            </w:r>
          </w:p>
        </w:tc>
      </w:tr>
      <w:tr>
        <w:trPr>
          <w:trHeight w:val="155"/>
        </w:trPr>
        <w:tc>
          <w:tcPr>
            <w:tcW w:w="35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5100" w:type="dxa"/>
            <w:vAlign w:val="bottom"/>
            <w:tcBorders>
              <w:top w:val="single" w:sz="8" w:color="auto"/>
            </w:tcBorders>
          </w:tcPr>
          <w:p>
            <w:pPr>
              <w:ind w:left="20"/>
              <w:spacing w:after="0" w:line="154" w:lineRule="exact"/>
              <w:rPr>
                <w:sz w:val="20"/>
                <w:szCs w:val="20"/>
                <w:color w:val="auto"/>
              </w:rPr>
            </w:pPr>
            <w:r>
              <w:rPr>
                <w:rFonts w:ascii="Arial" w:cs="Arial" w:eastAsia="Arial" w:hAnsi="Arial"/>
                <w:sz w:val="17"/>
                <w:szCs w:val="17"/>
                <w:color w:val="auto"/>
              </w:rPr>
              <w:t>Lawrence M. Blatt, Ph.D.</w:t>
            </w:r>
          </w:p>
        </w:tc>
      </w:tr>
      <w:tr>
        <w:trPr>
          <w:trHeight w:val="230"/>
        </w:trPr>
        <w:tc>
          <w:tcPr>
            <w:tcW w:w="35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823"/>
        </w:trPr>
        <w:tc>
          <w:tcPr>
            <w:tcW w:w="3540" w:type="dxa"/>
            <w:vAlign w:val="bottom"/>
          </w:tcPr>
          <w:p>
            <w:pPr>
              <w:spacing w:after="0"/>
              <w:rPr>
                <w:sz w:val="24"/>
                <w:szCs w:val="24"/>
                <w:color w:val="auto"/>
              </w:rPr>
            </w:pP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153</w:t>
            </w:r>
          </w:p>
        </w:tc>
        <w:tc>
          <w:tcPr>
            <w:tcW w:w="5100" w:type="dxa"/>
            <w:vAlign w:val="bottom"/>
          </w:tcPr>
          <w:p>
            <w:pPr>
              <w:spacing w:after="0"/>
              <w:rPr>
                <w:sz w:val="24"/>
                <w:szCs w:val="24"/>
                <w:color w:val="auto"/>
              </w:rPr>
            </w:pPr>
          </w:p>
        </w:tc>
      </w:tr>
      <w:tr>
        <w:trPr>
          <w:trHeight w:val="101"/>
        </w:trPr>
        <w:tc>
          <w:tcPr>
            <w:tcW w:w="3540" w:type="dxa"/>
            <w:vAlign w:val="bottom"/>
            <w:tcBorders>
              <w:bottom w:val="single" w:sz="8" w:color="9A9A9A"/>
            </w:tcBorders>
          </w:tcPr>
          <w:p>
            <w:pPr>
              <w:spacing w:after="0"/>
              <w:rPr>
                <w:sz w:val="8"/>
                <w:szCs w:val="8"/>
                <w:color w:val="auto"/>
              </w:rPr>
            </w:pPr>
          </w:p>
        </w:tc>
        <w:tc>
          <w:tcPr>
            <w:tcW w:w="2600" w:type="dxa"/>
            <w:vAlign w:val="bottom"/>
            <w:tcBorders>
              <w:bottom w:val="single" w:sz="8" w:color="9A9A9A"/>
            </w:tcBorders>
          </w:tcPr>
          <w:p>
            <w:pPr>
              <w:spacing w:after="0"/>
              <w:rPr>
                <w:sz w:val="8"/>
                <w:szCs w:val="8"/>
                <w:color w:val="auto"/>
              </w:rPr>
            </w:pPr>
          </w:p>
        </w:tc>
        <w:tc>
          <w:tcPr>
            <w:tcW w:w="5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43"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Lawrence M. Blatt, Ph.D., Lesley Ann Calhoun and Lucinda Quan, J.D., and each of them acting individually, as his or her true and lawful attorneys-in-fact and agents, each with full power of substitution, for him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spacing w:after="0" w:line="207"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324" w:right="339" w:bottom="1440" w:gutter="0" w:footer="0" w:header="0"/>
        </w:sectPr>
      </w:pPr>
    </w:p>
    <w:p>
      <w:pPr>
        <w:spacing w:after="0" w:line="149" w:lineRule="exact"/>
        <w:rPr>
          <w:sz w:val="20"/>
          <w:szCs w:val="20"/>
          <w:color w:val="auto"/>
        </w:rPr>
      </w:pPr>
    </w:p>
    <w:p>
      <w:pPr>
        <w:jc w:val="center"/>
        <w:ind w:left="62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34886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/s/ Lawrence M.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34886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34"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Lawrence M. Blatt, Ph.D.</w:t>
      </w:r>
    </w:p>
    <w:p>
      <w:pPr>
        <w:spacing w:after="0" w:line="179"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34886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jc w:val="center"/>
        <w:ind w:left="620"/>
        <w:spacing w:after="0"/>
        <w:rPr>
          <w:sz w:val="20"/>
          <w:szCs w:val="20"/>
          <w:color w:val="auto"/>
        </w:rPr>
      </w:pPr>
      <w:r>
        <w:rPr>
          <w:rFonts w:ascii="Arial" w:cs="Arial" w:eastAsia="Arial" w:hAnsi="Arial"/>
          <w:sz w:val="16"/>
          <w:szCs w:val="16"/>
          <w:color w:val="auto"/>
        </w:rPr>
        <w:t>Lesley Ann Calhoun</w:t>
      </w:r>
    </w:p>
    <w:p>
      <w:pPr>
        <w:spacing w:after="0" w:line="15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 Leonid Beigelman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34886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5"/>
          <w:szCs w:val="15"/>
          <w:color w:val="auto"/>
        </w:rPr>
        <w:t>Leonid Beigelman, Ph.D.</w:t>
      </w:r>
    </w:p>
    <w:p>
      <w:pPr>
        <w:spacing w:after="0" w:line="165"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/s/ K. Peter Hirth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34886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6">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6"/>
          <w:szCs w:val="16"/>
          <w:color w:val="auto"/>
        </w:rPr>
        <w:t>K. Peter Hirth, Ph.D.</w:t>
      </w:r>
    </w:p>
    <w:p>
      <w:pPr>
        <w:spacing w:after="0" w:line="153"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 Jack B.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34886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7">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jc w:val="center"/>
        <w:ind w:left="620"/>
        <w:spacing w:after="0"/>
        <w:rPr>
          <w:sz w:val="20"/>
          <w:szCs w:val="20"/>
          <w:color w:val="auto"/>
        </w:rPr>
      </w:pPr>
      <w:r>
        <w:rPr>
          <w:rFonts w:ascii="Arial" w:cs="Arial" w:eastAsia="Arial" w:hAnsi="Arial"/>
          <w:sz w:val="16"/>
          <w:szCs w:val="16"/>
          <w:color w:val="auto"/>
        </w:rPr>
        <w:t>Jack B. Nielsen</w:t>
      </w:r>
    </w:p>
    <w:p>
      <w:pPr>
        <w:spacing w:after="0" w:line="153"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 Carole Nuechterlein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34886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8">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jc w:val="center"/>
        <w:ind w:left="620"/>
        <w:spacing w:after="0"/>
        <w:rPr>
          <w:sz w:val="20"/>
          <w:szCs w:val="20"/>
          <w:color w:val="auto"/>
        </w:rPr>
      </w:pPr>
      <w:r>
        <w:rPr>
          <w:rFonts w:ascii="Arial" w:cs="Arial" w:eastAsia="Arial" w:hAnsi="Arial"/>
          <w:sz w:val="16"/>
          <w:szCs w:val="16"/>
          <w:color w:val="auto"/>
        </w:rPr>
        <w:t>Carole Nuechterlein</w:t>
      </w:r>
    </w:p>
    <w:p>
      <w:pPr>
        <w:spacing w:after="0" w:line="153"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 Thomas Woiwode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34886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jc w:val="center"/>
        <w:ind w:left="620"/>
        <w:spacing w:after="0"/>
        <w:rPr>
          <w:sz w:val="20"/>
          <w:szCs w:val="20"/>
          <w:color w:val="auto"/>
        </w:rPr>
      </w:pPr>
      <w:r>
        <w:rPr>
          <w:rFonts w:ascii="Arial" w:cs="Arial" w:eastAsia="Arial" w:hAnsi="Arial"/>
          <w:sz w:val="15"/>
          <w:szCs w:val="15"/>
          <w:color w:val="auto"/>
        </w:rPr>
        <w:t>Thomas Woiwode, Ph.D.</w:t>
      </w:r>
    </w:p>
    <w:p>
      <w:pPr>
        <w:spacing w:after="0" w:line="165"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 James Scopa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34886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0">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jc w:val="center"/>
        <w:ind w:left="620"/>
        <w:spacing w:after="0"/>
        <w:rPr>
          <w:sz w:val="20"/>
          <w:szCs w:val="20"/>
          <w:color w:val="auto"/>
        </w:rPr>
      </w:pPr>
      <w:r>
        <w:rPr>
          <w:rFonts w:ascii="Arial" w:cs="Arial" w:eastAsia="Arial" w:hAnsi="Arial"/>
          <w:sz w:val="16"/>
          <w:szCs w:val="16"/>
          <w:color w:val="auto"/>
        </w:rPr>
        <w:t>James Scopa</w:t>
      </w:r>
    </w:p>
    <w:p>
      <w:pPr>
        <w:spacing w:after="0" w:line="153"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/s/ Bridget Martell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234886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1">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6"/>
          <w:szCs w:val="16"/>
          <w:color w:val="auto"/>
        </w:rPr>
        <w:t>Bridget Martell, M.D.</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89"/>
        </w:trPr>
        <w:tc>
          <w:tcPr>
            <w:tcW w:w="4860" w:type="dxa"/>
            <w:vAlign w:val="bottom"/>
          </w:tcPr>
          <w:p>
            <w:pPr>
              <w:spacing w:after="0"/>
              <w:rPr>
                <w:sz w:val="20"/>
                <w:szCs w:val="20"/>
                <w:color w:val="auto"/>
              </w:rPr>
            </w:pPr>
            <w:r>
              <w:rPr>
                <w:rFonts w:ascii="Arial" w:cs="Arial" w:eastAsia="Arial" w:hAnsi="Arial"/>
                <w:sz w:val="16"/>
                <w:szCs w:val="16"/>
                <w:color w:val="auto"/>
              </w:rPr>
              <w:t>Chief Executive Officer and 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3"/>
              </w:rPr>
              <w:t>March 10, 2022</w:t>
            </w:r>
          </w:p>
        </w:tc>
        <w:tc>
          <w:tcPr>
            <w:tcW w:w="0" w:type="dxa"/>
            <w:vAlign w:val="bottom"/>
          </w:tcPr>
          <w:p>
            <w:pPr>
              <w:spacing w:after="0"/>
              <w:rPr>
                <w:sz w:val="1"/>
                <w:szCs w:val="1"/>
                <w:color w:val="auto"/>
              </w:rPr>
            </w:pPr>
          </w:p>
        </w:tc>
      </w:tr>
      <w:tr>
        <w:trPr>
          <w:trHeight w:val="206"/>
        </w:trPr>
        <w:tc>
          <w:tcPr>
            <w:tcW w:w="4860" w:type="dxa"/>
            <w:vAlign w:val="bottom"/>
          </w:tcPr>
          <w:p>
            <w:pPr>
              <w:spacing w:after="0"/>
              <w:rPr>
                <w:sz w:val="20"/>
                <w:szCs w:val="20"/>
                <w:color w:val="auto"/>
              </w:rPr>
            </w:pPr>
            <w:r>
              <w:rPr>
                <w:rFonts w:ascii="Arial" w:cs="Arial" w:eastAsia="Arial" w:hAnsi="Arial"/>
                <w:sz w:val="16"/>
                <w:szCs w:val="16"/>
                <w:i w:val="1"/>
                <w:iCs w:val="1"/>
                <w:color w:val="auto"/>
              </w:rPr>
              <w:t>(Principal Executive Officer)</w:t>
            </w: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4860" w:type="dxa"/>
            <w:vAlign w:val="bottom"/>
          </w:tcPr>
          <w:p>
            <w:pPr>
              <w:spacing w:after="0"/>
              <w:rPr>
                <w:sz w:val="20"/>
                <w:szCs w:val="20"/>
                <w:color w:val="auto"/>
              </w:rPr>
            </w:pPr>
            <w:r>
              <w:rPr>
                <w:rFonts w:ascii="Arial" w:cs="Arial" w:eastAsia="Arial" w:hAnsi="Arial"/>
                <w:sz w:val="16"/>
                <w:szCs w:val="16"/>
                <w:color w:val="auto"/>
              </w:rPr>
              <w:t>Executive Vice President, Chief Financial Officer</w:t>
            </w:r>
          </w:p>
        </w:tc>
        <w:tc>
          <w:tcPr>
            <w:tcW w:w="100" w:type="dxa"/>
            <w:vAlign w:val="bottom"/>
          </w:tcPr>
          <w:p>
            <w:pPr>
              <w:spacing w:after="0"/>
              <w:rPr>
                <w:sz w:val="24"/>
                <w:szCs w:val="24"/>
                <w:color w:val="auto"/>
              </w:rPr>
            </w:pPr>
          </w:p>
        </w:tc>
        <w:tc>
          <w:tcPr>
            <w:tcW w:w="2440" w:type="dxa"/>
            <w:vAlign w:val="bottom"/>
            <w:vMerge w:val="restart"/>
          </w:tcPr>
          <w:p>
            <w:pPr>
              <w:jc w:val="center"/>
              <w:spacing w:after="0"/>
              <w:rPr>
                <w:sz w:val="20"/>
                <w:szCs w:val="20"/>
                <w:color w:val="auto"/>
              </w:rPr>
            </w:pPr>
            <w:r>
              <w:rPr>
                <w:rFonts w:ascii="Arial" w:cs="Arial" w:eastAsia="Arial" w:hAnsi="Arial"/>
                <w:sz w:val="16"/>
                <w:szCs w:val="16"/>
                <w:color w:val="auto"/>
                <w:w w:val="93"/>
              </w:rPr>
              <w:t>March 10, 2022</w:t>
            </w:r>
          </w:p>
        </w:tc>
        <w:tc>
          <w:tcPr>
            <w:tcW w:w="0" w:type="dxa"/>
            <w:vAlign w:val="bottom"/>
          </w:tcPr>
          <w:p>
            <w:pPr>
              <w:spacing w:after="0"/>
              <w:rPr>
                <w:sz w:val="1"/>
                <w:szCs w:val="1"/>
                <w:color w:val="auto"/>
              </w:rPr>
            </w:pPr>
          </w:p>
        </w:tc>
      </w:tr>
      <w:tr>
        <w:trPr>
          <w:trHeight w:val="112"/>
        </w:trPr>
        <w:tc>
          <w:tcPr>
            <w:tcW w:w="4860" w:type="dxa"/>
            <w:vAlign w:val="bottom"/>
            <w:vMerge w:val="restart"/>
          </w:tcPr>
          <w:p>
            <w:pPr>
              <w:spacing w:after="0"/>
              <w:rPr>
                <w:sz w:val="20"/>
                <w:szCs w:val="20"/>
                <w:color w:val="auto"/>
              </w:rPr>
            </w:pPr>
            <w:r>
              <w:rPr>
                <w:rFonts w:ascii="Arial" w:cs="Arial" w:eastAsia="Arial" w:hAnsi="Arial"/>
                <w:sz w:val="16"/>
                <w:szCs w:val="16"/>
                <w:i w:val="1"/>
                <w:iCs w:val="1"/>
                <w:color w:val="auto"/>
              </w:rPr>
              <w:t>(Principal Financial and Accounting Officer)</w:t>
            </w:r>
          </w:p>
        </w:tc>
        <w:tc>
          <w:tcPr>
            <w:tcW w:w="100" w:type="dxa"/>
            <w:vAlign w:val="bottom"/>
          </w:tcPr>
          <w:p>
            <w:pPr>
              <w:spacing w:after="0"/>
              <w:rPr>
                <w:sz w:val="9"/>
                <w:szCs w:val="9"/>
                <w:color w:val="auto"/>
              </w:rPr>
            </w:pPr>
          </w:p>
        </w:tc>
        <w:tc>
          <w:tcPr>
            <w:tcW w:w="2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48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2"/>
        </w:trPr>
        <w:tc>
          <w:tcPr>
            <w:tcW w:w="4860" w:type="dxa"/>
            <w:vAlign w:val="bottom"/>
          </w:tcPr>
          <w:p>
            <w:pPr>
              <w:spacing w:after="0"/>
              <w:rPr>
                <w:sz w:val="20"/>
                <w:szCs w:val="20"/>
                <w:color w:val="auto"/>
              </w:rPr>
            </w:pPr>
            <w:r>
              <w:rPr>
                <w:rFonts w:ascii="Arial" w:cs="Arial" w:eastAsia="Arial" w:hAnsi="Arial"/>
                <w:sz w:val="16"/>
                <w:szCs w:val="16"/>
                <w:color w:val="auto"/>
              </w:rPr>
              <w:t>President and 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3"/>
              </w:rPr>
              <w:t>March 10, 2022</w:t>
            </w:r>
          </w:p>
        </w:tc>
        <w:tc>
          <w:tcPr>
            <w:tcW w:w="0" w:type="dxa"/>
            <w:vAlign w:val="bottom"/>
          </w:tcPr>
          <w:p>
            <w:pPr>
              <w:spacing w:after="0"/>
              <w:rPr>
                <w:sz w:val="1"/>
                <w:szCs w:val="1"/>
                <w:color w:val="auto"/>
              </w:rPr>
            </w:pPr>
          </w:p>
        </w:tc>
      </w:tr>
      <w:tr>
        <w:trPr>
          <w:trHeight w:val="526"/>
        </w:trPr>
        <w:tc>
          <w:tcPr>
            <w:tcW w:w="4860" w:type="dxa"/>
            <w:vAlign w:val="bottom"/>
          </w:tcPr>
          <w:p>
            <w:pPr>
              <w:spacing w:after="0"/>
              <w:rPr>
                <w:sz w:val="20"/>
                <w:szCs w:val="20"/>
                <w:color w:val="auto"/>
              </w:rPr>
            </w:pPr>
            <w:r>
              <w:rPr>
                <w:rFonts w:ascii="Arial" w:cs="Arial" w:eastAsia="Arial" w:hAnsi="Arial"/>
                <w:sz w:val="16"/>
                <w:szCs w:val="16"/>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3"/>
              </w:rPr>
              <w:t>March 10, 2022</w:t>
            </w:r>
          </w:p>
        </w:tc>
        <w:tc>
          <w:tcPr>
            <w:tcW w:w="0" w:type="dxa"/>
            <w:vAlign w:val="bottom"/>
          </w:tcPr>
          <w:p>
            <w:pPr>
              <w:spacing w:after="0"/>
              <w:rPr>
                <w:sz w:val="1"/>
                <w:szCs w:val="1"/>
                <w:color w:val="auto"/>
              </w:rPr>
            </w:pPr>
          </w:p>
        </w:tc>
      </w:tr>
      <w:tr>
        <w:trPr>
          <w:trHeight w:val="527"/>
        </w:trPr>
        <w:tc>
          <w:tcPr>
            <w:tcW w:w="4860" w:type="dxa"/>
            <w:vAlign w:val="bottom"/>
          </w:tcPr>
          <w:p>
            <w:pPr>
              <w:spacing w:after="0"/>
              <w:rPr>
                <w:sz w:val="20"/>
                <w:szCs w:val="20"/>
                <w:color w:val="auto"/>
              </w:rPr>
            </w:pPr>
            <w:r>
              <w:rPr>
                <w:rFonts w:ascii="Arial" w:cs="Arial" w:eastAsia="Arial" w:hAnsi="Arial"/>
                <w:sz w:val="16"/>
                <w:szCs w:val="16"/>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3"/>
              </w:rPr>
              <w:t>March 10, 2022</w:t>
            </w:r>
          </w:p>
        </w:tc>
        <w:tc>
          <w:tcPr>
            <w:tcW w:w="0" w:type="dxa"/>
            <w:vAlign w:val="bottom"/>
          </w:tcPr>
          <w:p>
            <w:pPr>
              <w:spacing w:after="0"/>
              <w:rPr>
                <w:sz w:val="1"/>
                <w:szCs w:val="1"/>
                <w:color w:val="auto"/>
              </w:rPr>
            </w:pPr>
          </w:p>
        </w:tc>
      </w:tr>
      <w:tr>
        <w:trPr>
          <w:trHeight w:val="527"/>
        </w:trPr>
        <w:tc>
          <w:tcPr>
            <w:tcW w:w="4860" w:type="dxa"/>
            <w:vAlign w:val="bottom"/>
          </w:tcPr>
          <w:p>
            <w:pPr>
              <w:spacing w:after="0"/>
              <w:rPr>
                <w:sz w:val="20"/>
                <w:szCs w:val="20"/>
                <w:color w:val="auto"/>
              </w:rPr>
            </w:pPr>
            <w:r>
              <w:rPr>
                <w:rFonts w:ascii="Arial" w:cs="Arial" w:eastAsia="Arial" w:hAnsi="Arial"/>
                <w:sz w:val="16"/>
                <w:szCs w:val="16"/>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3"/>
              </w:rPr>
              <w:t>March 10, 2022</w:t>
            </w:r>
          </w:p>
        </w:tc>
        <w:tc>
          <w:tcPr>
            <w:tcW w:w="0" w:type="dxa"/>
            <w:vAlign w:val="bottom"/>
          </w:tcPr>
          <w:p>
            <w:pPr>
              <w:spacing w:after="0"/>
              <w:rPr>
                <w:sz w:val="1"/>
                <w:szCs w:val="1"/>
                <w:color w:val="auto"/>
              </w:rPr>
            </w:pPr>
          </w:p>
        </w:tc>
      </w:tr>
      <w:tr>
        <w:trPr>
          <w:trHeight w:val="526"/>
        </w:trPr>
        <w:tc>
          <w:tcPr>
            <w:tcW w:w="4860" w:type="dxa"/>
            <w:vAlign w:val="bottom"/>
          </w:tcPr>
          <w:p>
            <w:pPr>
              <w:spacing w:after="0"/>
              <w:rPr>
                <w:sz w:val="20"/>
                <w:szCs w:val="20"/>
                <w:color w:val="auto"/>
              </w:rPr>
            </w:pPr>
            <w:r>
              <w:rPr>
                <w:rFonts w:ascii="Arial" w:cs="Arial" w:eastAsia="Arial" w:hAnsi="Arial"/>
                <w:sz w:val="16"/>
                <w:szCs w:val="16"/>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3"/>
              </w:rPr>
              <w:t>March 10, 2022</w:t>
            </w:r>
          </w:p>
        </w:tc>
        <w:tc>
          <w:tcPr>
            <w:tcW w:w="0" w:type="dxa"/>
            <w:vAlign w:val="bottom"/>
          </w:tcPr>
          <w:p>
            <w:pPr>
              <w:spacing w:after="0"/>
              <w:rPr>
                <w:sz w:val="1"/>
                <w:szCs w:val="1"/>
                <w:color w:val="auto"/>
              </w:rPr>
            </w:pPr>
          </w:p>
        </w:tc>
      </w:tr>
      <w:tr>
        <w:trPr>
          <w:trHeight w:val="527"/>
        </w:trPr>
        <w:tc>
          <w:tcPr>
            <w:tcW w:w="4860" w:type="dxa"/>
            <w:vAlign w:val="bottom"/>
          </w:tcPr>
          <w:p>
            <w:pPr>
              <w:spacing w:after="0"/>
              <w:rPr>
                <w:sz w:val="20"/>
                <w:szCs w:val="20"/>
                <w:color w:val="auto"/>
              </w:rPr>
            </w:pPr>
            <w:r>
              <w:rPr>
                <w:rFonts w:ascii="Arial" w:cs="Arial" w:eastAsia="Arial" w:hAnsi="Arial"/>
                <w:sz w:val="16"/>
                <w:szCs w:val="16"/>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3"/>
              </w:rPr>
              <w:t>March 10, 2022</w:t>
            </w:r>
          </w:p>
        </w:tc>
        <w:tc>
          <w:tcPr>
            <w:tcW w:w="0" w:type="dxa"/>
            <w:vAlign w:val="bottom"/>
          </w:tcPr>
          <w:p>
            <w:pPr>
              <w:spacing w:after="0"/>
              <w:rPr>
                <w:sz w:val="1"/>
                <w:szCs w:val="1"/>
                <w:color w:val="auto"/>
              </w:rPr>
            </w:pPr>
          </w:p>
        </w:tc>
      </w:tr>
      <w:tr>
        <w:trPr>
          <w:trHeight w:val="540"/>
        </w:trPr>
        <w:tc>
          <w:tcPr>
            <w:tcW w:w="4860" w:type="dxa"/>
            <w:vAlign w:val="bottom"/>
          </w:tcPr>
          <w:p>
            <w:pPr>
              <w:spacing w:after="0"/>
              <w:rPr>
                <w:sz w:val="20"/>
                <w:szCs w:val="20"/>
                <w:color w:val="auto"/>
              </w:rPr>
            </w:pPr>
            <w:r>
              <w:rPr>
                <w:rFonts w:ascii="Arial" w:cs="Arial" w:eastAsia="Arial" w:hAnsi="Arial"/>
                <w:sz w:val="16"/>
                <w:szCs w:val="16"/>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3"/>
              </w:rPr>
              <w:t>March 10, 2022</w:t>
            </w:r>
          </w:p>
        </w:tc>
        <w:tc>
          <w:tcPr>
            <w:tcW w:w="0" w:type="dxa"/>
            <w:vAlign w:val="bottom"/>
          </w:tcPr>
          <w:p>
            <w:pPr>
              <w:spacing w:after="0"/>
              <w:rPr>
                <w:sz w:val="1"/>
                <w:szCs w:val="1"/>
                <w:color w:val="auto"/>
              </w:rPr>
            </w:pPr>
          </w:p>
        </w:tc>
      </w:tr>
    </w:tbl>
    <w:p>
      <w:pPr>
        <w:spacing w:after="0" w:line="286" w:lineRule="exact"/>
        <w:rPr>
          <w:sz w:val="20"/>
          <w:szCs w:val="20"/>
          <w:color w:val="auto"/>
        </w:rPr>
      </w:pPr>
    </w:p>
    <w:p>
      <w:pPr>
        <w:sectPr>
          <w:pgSz w:w="11900" w:h="16838" w:orient="portrait"/>
          <w:cols w:equalWidth="0" w:num="2">
            <w:col w:w="3100" w:space="720"/>
            <w:col w:w="7420"/>
          </w:cols>
          <w:pgMar w:left="320" w:top="324" w:right="339" w:bottom="1440" w:gutter="0" w:footer="0" w:header="0"/>
          <w:type w:val="continuous"/>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10.16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 AGREEMENT</w:t>
      </w:r>
    </w:p>
    <w:p>
      <w:pPr>
        <w:spacing w:after="0" w:line="198" w:lineRule="exact"/>
        <w:rPr>
          <w:sz w:val="20"/>
          <w:szCs w:val="20"/>
          <w:color w:val="auto"/>
        </w:rPr>
      </w:pPr>
    </w:p>
    <w:p>
      <w:pPr>
        <w:jc w:val="both"/>
        <w:ind w:right="40" w:firstLine="749"/>
        <w:spacing w:after="0" w:line="271" w:lineRule="auto"/>
        <w:rPr>
          <w:sz w:val="20"/>
          <w:szCs w:val="20"/>
          <w:color w:val="auto"/>
        </w:rPr>
      </w:pPr>
      <w:r>
        <w:rPr>
          <w:rFonts w:ascii="Arial" w:cs="Arial" w:eastAsia="Arial" w:hAnsi="Arial"/>
          <w:sz w:val="18"/>
          <w:szCs w:val="18"/>
          <w:color w:val="auto"/>
        </w:rPr>
        <w:t>THIS LEASE AGREEMENT (this “</w:t>
      </w:r>
      <w:r>
        <w:rPr>
          <w:rFonts w:ascii="Arial" w:cs="Arial" w:eastAsia="Arial" w:hAnsi="Arial"/>
          <w:sz w:val="18"/>
          <w:szCs w:val="18"/>
          <w:b w:val="1"/>
          <w:bCs w:val="1"/>
          <w:color w:val="auto"/>
        </w:rPr>
        <w:t>Lease</w:t>
      </w:r>
      <w:r>
        <w:rPr>
          <w:rFonts w:ascii="Arial" w:cs="Arial" w:eastAsia="Arial" w:hAnsi="Arial"/>
          <w:sz w:val="18"/>
          <w:szCs w:val="18"/>
          <w:color w:val="auto"/>
        </w:rPr>
        <w:t xml:space="preserve">”) is made this 9th day of December, 2021, between </w:t>
      </w:r>
      <w:r>
        <w:rPr>
          <w:rFonts w:ascii="Arial" w:cs="Arial" w:eastAsia="Arial" w:hAnsi="Arial"/>
          <w:sz w:val="18"/>
          <w:szCs w:val="18"/>
          <w:b w:val="1"/>
          <w:bCs w:val="1"/>
          <w:color w:val="auto"/>
        </w:rPr>
        <w:t>601 &amp; 651 GATEWAY CENTER LP</w:t>
      </w:r>
      <w:r>
        <w:rPr>
          <w:rFonts w:ascii="Arial" w:cs="Arial" w:eastAsia="Arial" w:hAnsi="Arial"/>
          <w:sz w:val="18"/>
          <w:szCs w:val="18"/>
          <w:color w:val="auto"/>
        </w:rPr>
        <w:t>, a Delaware limited partnership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ALIGOS THERAPEUTICS,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1480" w:type="dxa"/>
            <w:vAlign w:val="bottom"/>
          </w:tcPr>
          <w:p>
            <w:pPr>
              <w:spacing w:after="0"/>
              <w:rPr>
                <w:sz w:val="20"/>
                <w:szCs w:val="20"/>
                <w:color w:val="auto"/>
              </w:rPr>
            </w:pPr>
            <w:r>
              <w:rPr>
                <w:rFonts w:ascii="Arial" w:cs="Arial" w:eastAsia="Arial" w:hAnsi="Arial"/>
                <w:sz w:val="18"/>
                <w:szCs w:val="18"/>
                <w:b w:val="1"/>
                <w:bCs w:val="1"/>
                <w:color w:val="auto"/>
              </w:rPr>
              <w:t>Building:</w:t>
            </w:r>
          </w:p>
        </w:tc>
        <w:tc>
          <w:tcPr>
            <w:tcW w:w="9280" w:type="dxa"/>
            <w:vAlign w:val="bottom"/>
            <w:gridSpan w:val="3"/>
          </w:tcPr>
          <w:p>
            <w:pPr>
              <w:ind w:left="540"/>
              <w:spacing w:after="0"/>
              <w:rPr>
                <w:sz w:val="20"/>
                <w:szCs w:val="20"/>
                <w:color w:val="auto"/>
              </w:rPr>
            </w:pPr>
            <w:r>
              <w:rPr>
                <w:rFonts w:ascii="Arial" w:cs="Arial" w:eastAsia="Arial" w:hAnsi="Arial"/>
                <w:sz w:val="18"/>
                <w:szCs w:val="18"/>
                <w:color w:val="auto"/>
              </w:rPr>
              <w:t>601 Gateway Boulevard, South San Francisco, California 94080</w:t>
            </w:r>
          </w:p>
        </w:tc>
      </w:tr>
      <w:tr>
        <w:trPr>
          <w:trHeight w:val="311"/>
        </w:trPr>
        <w:tc>
          <w:tcPr>
            <w:tcW w:w="1480" w:type="dxa"/>
            <w:vAlign w:val="bottom"/>
          </w:tcPr>
          <w:p>
            <w:pPr>
              <w:spacing w:after="0"/>
              <w:rPr>
                <w:sz w:val="20"/>
                <w:szCs w:val="20"/>
                <w:color w:val="auto"/>
              </w:rPr>
            </w:pPr>
            <w:r>
              <w:rPr>
                <w:rFonts w:ascii="Arial" w:cs="Arial" w:eastAsia="Arial" w:hAnsi="Arial"/>
                <w:sz w:val="18"/>
                <w:szCs w:val="18"/>
                <w:b w:val="1"/>
                <w:bCs w:val="1"/>
                <w:color w:val="auto"/>
              </w:rPr>
              <w:t>Premises:</w:t>
            </w:r>
          </w:p>
        </w:tc>
        <w:tc>
          <w:tcPr>
            <w:tcW w:w="9280" w:type="dxa"/>
            <w:vAlign w:val="bottom"/>
            <w:gridSpan w:val="3"/>
          </w:tcPr>
          <w:p>
            <w:pPr>
              <w:ind w:left="540"/>
              <w:spacing w:after="0"/>
              <w:rPr>
                <w:sz w:val="20"/>
                <w:szCs w:val="20"/>
                <w:color w:val="auto"/>
              </w:rPr>
            </w:pPr>
            <w:r>
              <w:rPr>
                <w:rFonts w:ascii="Arial" w:cs="Arial" w:eastAsia="Arial" w:hAnsi="Arial"/>
                <w:sz w:val="18"/>
                <w:szCs w:val="18"/>
                <w:color w:val="auto"/>
              </w:rPr>
              <w:t>That portion of the Building, commonly known as Suite 900, containing approximately 11,846 rentable square</w:t>
            </w:r>
          </w:p>
        </w:tc>
      </w:tr>
      <w:tr>
        <w:trPr>
          <w:trHeight w:val="239"/>
        </w:trPr>
        <w:tc>
          <w:tcPr>
            <w:tcW w:w="1480" w:type="dxa"/>
            <w:vAlign w:val="bottom"/>
          </w:tcPr>
          <w:p>
            <w:pPr>
              <w:spacing w:after="0"/>
              <w:rPr>
                <w:sz w:val="20"/>
                <w:szCs w:val="20"/>
                <w:color w:val="auto"/>
              </w:rPr>
            </w:pPr>
          </w:p>
        </w:tc>
        <w:tc>
          <w:tcPr>
            <w:tcW w:w="9280" w:type="dxa"/>
            <w:vAlign w:val="bottom"/>
            <w:gridSpan w:val="3"/>
          </w:tcPr>
          <w:p>
            <w:pPr>
              <w:ind w:left="540"/>
              <w:spacing w:after="0"/>
              <w:rPr>
                <w:sz w:val="20"/>
                <w:szCs w:val="20"/>
                <w:color w:val="auto"/>
              </w:rPr>
            </w:pPr>
            <w:r>
              <w:rPr>
                <w:rFonts w:ascii="Arial" w:cs="Arial" w:eastAsia="Arial" w:hAnsi="Arial"/>
                <w:sz w:val="18"/>
                <w:szCs w:val="18"/>
                <w:color w:val="auto"/>
              </w:rPr>
              <w:t xml:space="preserve">feet, as determined by Landlord, as shown on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301"/>
        </w:trPr>
        <w:tc>
          <w:tcPr>
            <w:tcW w:w="1480" w:type="dxa"/>
            <w:vAlign w:val="bottom"/>
          </w:tcPr>
          <w:p>
            <w:pPr>
              <w:spacing w:after="0"/>
              <w:rPr>
                <w:sz w:val="20"/>
                <w:szCs w:val="20"/>
                <w:color w:val="auto"/>
              </w:rPr>
            </w:pPr>
            <w:r>
              <w:rPr>
                <w:rFonts w:ascii="Arial" w:cs="Arial" w:eastAsia="Arial" w:hAnsi="Arial"/>
                <w:sz w:val="18"/>
                <w:szCs w:val="18"/>
                <w:b w:val="1"/>
                <w:bCs w:val="1"/>
                <w:color w:val="auto"/>
              </w:rPr>
              <w:t>Project:</w:t>
            </w:r>
          </w:p>
        </w:tc>
        <w:tc>
          <w:tcPr>
            <w:tcW w:w="9280" w:type="dxa"/>
            <w:vAlign w:val="bottom"/>
            <w:gridSpan w:val="3"/>
          </w:tcPr>
          <w:p>
            <w:pPr>
              <w:ind w:left="540"/>
              <w:spacing w:after="0"/>
              <w:rPr>
                <w:sz w:val="20"/>
                <w:szCs w:val="20"/>
                <w:color w:val="auto"/>
              </w:rPr>
            </w:pPr>
            <w:r>
              <w:rPr>
                <w:rFonts w:ascii="Arial" w:cs="Arial" w:eastAsia="Arial" w:hAnsi="Arial"/>
                <w:sz w:val="18"/>
                <w:szCs w:val="18"/>
                <w:color w:val="auto"/>
              </w:rPr>
              <w:t>The real property on which the Building in which the Premises are located, together with all improvements</w:t>
            </w:r>
          </w:p>
        </w:tc>
      </w:tr>
      <w:tr>
        <w:trPr>
          <w:trHeight w:val="188"/>
        </w:trPr>
        <w:tc>
          <w:tcPr>
            <w:tcW w:w="1480" w:type="dxa"/>
            <w:vAlign w:val="bottom"/>
          </w:tcPr>
          <w:p>
            <w:pPr>
              <w:spacing w:after="0"/>
              <w:rPr>
                <w:sz w:val="16"/>
                <w:szCs w:val="16"/>
                <w:color w:val="auto"/>
              </w:rPr>
            </w:pPr>
          </w:p>
        </w:tc>
        <w:tc>
          <w:tcPr>
            <w:tcW w:w="9280" w:type="dxa"/>
            <w:vAlign w:val="bottom"/>
            <w:gridSpan w:val="3"/>
          </w:tcPr>
          <w:p>
            <w:pPr>
              <w:ind w:left="540"/>
              <w:spacing w:after="0" w:line="189" w:lineRule="exact"/>
              <w:rPr>
                <w:sz w:val="20"/>
                <w:szCs w:val="20"/>
                <w:color w:val="auto"/>
              </w:rPr>
            </w:pPr>
            <w:r>
              <w:rPr>
                <w:rFonts w:ascii="Arial" w:cs="Arial" w:eastAsia="Arial" w:hAnsi="Arial"/>
                <w:sz w:val="18"/>
                <w:szCs w:val="18"/>
                <w:color w:val="auto"/>
              </w:rPr>
              <w:t xml:space="preserve">thereon and appurtenances thereto as described on </w:t>
            </w:r>
            <w:r>
              <w:rPr>
                <w:rFonts w:ascii="Arial" w:cs="Arial" w:eastAsia="Arial" w:hAnsi="Arial"/>
                <w:sz w:val="18"/>
                <w:szCs w:val="18"/>
                <w:b w:val="1"/>
                <w:bCs w:val="1"/>
                <w:color w:val="auto"/>
              </w:rPr>
              <w:t>Exhibit B</w:t>
            </w:r>
            <w:r>
              <w:rPr>
                <w:rFonts w:ascii="Arial" w:cs="Arial" w:eastAsia="Arial" w:hAnsi="Arial"/>
                <w:sz w:val="18"/>
                <w:szCs w:val="18"/>
                <w:color w:val="auto"/>
              </w:rPr>
              <w:t>. The Project shall also include the buildings</w:t>
            </w:r>
          </w:p>
        </w:tc>
      </w:tr>
      <w:tr>
        <w:trPr>
          <w:trHeight w:val="176"/>
        </w:trPr>
        <w:tc>
          <w:tcPr>
            <w:tcW w:w="1480" w:type="dxa"/>
            <w:vAlign w:val="bottom"/>
          </w:tcPr>
          <w:p>
            <w:pPr>
              <w:spacing w:after="0"/>
              <w:rPr>
                <w:sz w:val="15"/>
                <w:szCs w:val="15"/>
                <w:color w:val="auto"/>
              </w:rPr>
            </w:pPr>
          </w:p>
        </w:tc>
        <w:tc>
          <w:tcPr>
            <w:tcW w:w="9280" w:type="dxa"/>
            <w:vAlign w:val="bottom"/>
            <w:gridSpan w:val="3"/>
          </w:tcPr>
          <w:p>
            <w:pPr>
              <w:ind w:left="540"/>
              <w:spacing w:after="0" w:line="176" w:lineRule="exact"/>
              <w:rPr>
                <w:sz w:val="20"/>
                <w:szCs w:val="20"/>
                <w:color w:val="auto"/>
              </w:rPr>
            </w:pPr>
            <w:r>
              <w:rPr>
                <w:rFonts w:ascii="Arial" w:cs="Arial" w:eastAsia="Arial" w:hAnsi="Arial"/>
                <w:sz w:val="18"/>
                <w:szCs w:val="18"/>
                <w:color w:val="auto"/>
              </w:rPr>
              <w:t>located at 611, 651, 681, 685 and 701 Gateway Boulevard, South San Francisco and any additional buildings</w:t>
            </w:r>
          </w:p>
        </w:tc>
      </w:tr>
      <w:tr>
        <w:trPr>
          <w:trHeight w:val="217"/>
        </w:trPr>
        <w:tc>
          <w:tcPr>
            <w:tcW w:w="1480" w:type="dxa"/>
            <w:vAlign w:val="bottom"/>
          </w:tcPr>
          <w:p>
            <w:pPr>
              <w:spacing w:after="0"/>
              <w:rPr>
                <w:sz w:val="18"/>
                <w:szCs w:val="18"/>
                <w:color w:val="auto"/>
              </w:rPr>
            </w:pPr>
          </w:p>
        </w:tc>
        <w:tc>
          <w:tcPr>
            <w:tcW w:w="9280" w:type="dxa"/>
            <w:vAlign w:val="bottom"/>
            <w:gridSpan w:val="3"/>
          </w:tcPr>
          <w:p>
            <w:pPr>
              <w:ind w:left="540"/>
              <w:spacing w:after="0"/>
              <w:rPr>
                <w:sz w:val="20"/>
                <w:szCs w:val="20"/>
                <w:color w:val="auto"/>
              </w:rPr>
            </w:pPr>
            <w:r>
              <w:rPr>
                <w:rFonts w:ascii="Arial" w:cs="Arial" w:eastAsia="Arial" w:hAnsi="Arial"/>
                <w:sz w:val="18"/>
                <w:szCs w:val="18"/>
                <w:color w:val="auto"/>
              </w:rPr>
              <w:t>and land that Landlord may elect to include in the future.</w:t>
            </w:r>
          </w:p>
        </w:tc>
      </w:tr>
      <w:tr>
        <w:trPr>
          <w:trHeight w:val="324"/>
        </w:trPr>
        <w:tc>
          <w:tcPr>
            <w:tcW w:w="1480" w:type="dxa"/>
            <w:vAlign w:val="bottom"/>
          </w:tcPr>
          <w:p>
            <w:pPr>
              <w:spacing w:after="0"/>
              <w:rPr>
                <w:sz w:val="20"/>
                <w:szCs w:val="20"/>
                <w:color w:val="auto"/>
              </w:rPr>
            </w:pPr>
            <w:r>
              <w:rPr>
                <w:rFonts w:ascii="Arial" w:cs="Arial" w:eastAsia="Arial" w:hAnsi="Arial"/>
                <w:sz w:val="18"/>
                <w:szCs w:val="18"/>
                <w:b w:val="1"/>
                <w:bCs w:val="1"/>
                <w:color w:val="auto"/>
              </w:rPr>
              <w:t>Base Rent:</w:t>
            </w:r>
          </w:p>
        </w:tc>
        <w:tc>
          <w:tcPr>
            <w:tcW w:w="9280" w:type="dxa"/>
            <w:vAlign w:val="bottom"/>
            <w:gridSpan w:val="3"/>
          </w:tcPr>
          <w:p>
            <w:pPr>
              <w:ind w:left="540"/>
              <w:spacing w:after="0"/>
              <w:rPr>
                <w:sz w:val="20"/>
                <w:szCs w:val="20"/>
                <w:color w:val="auto"/>
              </w:rPr>
            </w:pPr>
            <w:r>
              <w:rPr>
                <w:rFonts w:ascii="Arial" w:cs="Arial" w:eastAsia="Arial" w:hAnsi="Arial"/>
                <w:sz w:val="18"/>
                <w:szCs w:val="18"/>
                <w:color w:val="auto"/>
                <w:w w:val="99"/>
              </w:rPr>
              <w:t>$4.20 per rentable square foot of the Premises per month, subject to adjustment pursuant to Section 4 hereof.</w:t>
            </w:r>
          </w:p>
        </w:tc>
      </w:tr>
      <w:tr>
        <w:trPr>
          <w:trHeight w:val="20"/>
        </w:trPr>
        <w:tc>
          <w:tcPr>
            <w:tcW w:w="14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Rentable Area of Premises: </w:t>
      </w:r>
      <w:r>
        <w:rPr>
          <w:rFonts w:ascii="Arial" w:cs="Arial" w:eastAsia="Arial" w:hAnsi="Arial"/>
          <w:sz w:val="18"/>
          <w:szCs w:val="18"/>
          <w:color w:val="auto"/>
        </w:rPr>
        <w:t>11,846 sq. ft.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Rentable Area of Building: </w:t>
      </w:r>
      <w:r>
        <w:rPr>
          <w:rFonts w:ascii="Arial" w:cs="Arial" w:eastAsia="Arial" w:hAnsi="Arial"/>
          <w:sz w:val="18"/>
          <w:szCs w:val="18"/>
          <w:color w:val="auto"/>
        </w:rPr>
        <w:t>221,804 sq. ft.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Rentable Area of Project: </w:t>
      </w:r>
      <w:r>
        <w:rPr>
          <w:rFonts w:ascii="Arial" w:cs="Arial" w:eastAsia="Arial" w:hAnsi="Arial"/>
          <w:sz w:val="18"/>
          <w:szCs w:val="18"/>
          <w:color w:val="auto"/>
        </w:rPr>
        <w:t>1,091,674 sq. ft.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Tenant’s Share of Excess Operating Expenses: </w:t>
      </w:r>
      <w:r>
        <w:rPr>
          <w:rFonts w:ascii="Arial" w:cs="Arial" w:eastAsia="Arial" w:hAnsi="Arial"/>
          <w:sz w:val="18"/>
          <w:szCs w:val="18"/>
          <w:color w:val="auto"/>
        </w:rPr>
        <w:t>5.34%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Building Share of Operating Expenses of Project: </w:t>
      </w:r>
      <w:r>
        <w:rPr>
          <w:rFonts w:ascii="Arial" w:cs="Arial" w:eastAsia="Arial" w:hAnsi="Arial"/>
          <w:sz w:val="18"/>
          <w:szCs w:val="18"/>
          <w:color w:val="auto"/>
        </w:rPr>
        <w:t>20.32</w:t>
      </w:r>
      <w:r>
        <w:rPr>
          <w:rFonts w:ascii="Arial" w:cs="Arial" w:eastAsia="Arial" w:hAnsi="Arial"/>
          <w:sz w:val="18"/>
          <w:szCs w:val="18"/>
          <w:b w:val="1"/>
          <w:bCs w:val="1"/>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Security Deposit: </w:t>
      </w:r>
      <w:r>
        <w:rPr>
          <w:rFonts w:ascii="Arial" w:cs="Arial" w:eastAsia="Arial" w:hAnsi="Arial"/>
          <w:sz w:val="18"/>
          <w:szCs w:val="18"/>
          <w:color w:val="auto"/>
        </w:rPr>
        <w:t>$55,996.66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Rent Adjustment Percentage: </w:t>
      </w:r>
      <w:r>
        <w:rPr>
          <w:rFonts w:ascii="Arial" w:cs="Arial" w:eastAsia="Arial" w:hAnsi="Arial"/>
          <w:sz w:val="18"/>
          <w:szCs w:val="18"/>
          <w:color w:val="auto"/>
        </w:rPr>
        <w:t>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60" w:type="dxa"/>
            <w:vAlign w:val="bottom"/>
          </w:tcPr>
          <w:p>
            <w:pPr>
              <w:spacing w:after="0"/>
              <w:rPr>
                <w:sz w:val="20"/>
                <w:szCs w:val="20"/>
                <w:color w:val="auto"/>
              </w:rPr>
            </w:pPr>
            <w:r>
              <w:rPr>
                <w:rFonts w:ascii="Arial" w:cs="Arial" w:eastAsia="Arial" w:hAnsi="Arial"/>
                <w:sz w:val="18"/>
                <w:szCs w:val="18"/>
                <w:b w:val="1"/>
                <w:bCs w:val="1"/>
                <w:color w:val="auto"/>
              </w:rPr>
              <w:t>Base Year:</w:t>
            </w:r>
          </w:p>
        </w:tc>
        <w:tc>
          <w:tcPr>
            <w:tcW w:w="720" w:type="dxa"/>
            <w:vAlign w:val="bottom"/>
          </w:tcPr>
          <w:p>
            <w:pPr>
              <w:jc w:val="right"/>
              <w:spacing w:after="0"/>
              <w:rPr>
                <w:sz w:val="20"/>
                <w:szCs w:val="20"/>
                <w:color w:val="auto"/>
              </w:rPr>
            </w:pPr>
            <w:r>
              <w:rPr>
                <w:rFonts w:ascii="Arial" w:cs="Arial" w:eastAsia="Arial" w:hAnsi="Arial"/>
                <w:sz w:val="18"/>
                <w:szCs w:val="18"/>
                <w:color w:val="auto"/>
              </w:rPr>
              <w:t>2022</w:t>
            </w:r>
          </w:p>
        </w:tc>
      </w:tr>
    </w:tbl>
    <w:p>
      <w:pPr>
        <w:spacing w:after="0" w:line="166"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b w:val="1"/>
          <w:bCs w:val="1"/>
          <w:color w:val="auto"/>
        </w:rPr>
        <w:t xml:space="preserve">Base Term: </w:t>
      </w:r>
      <w:r>
        <w:rPr>
          <w:rFonts w:ascii="Arial" w:cs="Arial" w:eastAsia="Arial" w:hAnsi="Arial"/>
          <w:sz w:val="18"/>
          <w:szCs w:val="18"/>
          <w:color w:val="auto"/>
        </w:rPr>
        <w:t>Beginning on the Commencement Date and ending 63 months from the first day of the first full month following the Rent</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Commencement Date. For clarity, if the Rent Commencement Date occurs on the first day of a month, the expiration of the Base Term shall be measured from that date. If the Rent Commencement Date occurs on a day other than the first day of a month, the expiration of the Base Term shall be measured from the first day of the following month.</w:t>
      </w:r>
    </w:p>
    <w:p>
      <w:pPr>
        <w:spacing w:after="0" w:line="160"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color w:val="auto"/>
        </w:rPr>
        <w:t xml:space="preserve">Permitted Use: </w:t>
      </w:r>
      <w:r>
        <w:rPr>
          <w:rFonts w:ascii="Arial" w:cs="Arial" w:eastAsia="Arial" w:hAnsi="Arial"/>
          <w:sz w:val="18"/>
          <w:szCs w:val="18"/>
          <w:color w:val="auto"/>
        </w:rPr>
        <w:t>Office and related uses consistent with the character of the Project and otherwise in compliance with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w:t>
      </w:r>
    </w:p>
    <w:p>
      <w:pPr>
        <w:sectPr>
          <w:pgSz w:w="11900" w:h="16838" w:orient="portrait"/>
          <w:cols w:equalWidth="0" w:num="1">
            <w:col w:w="11240"/>
          </w:cols>
          <w:pgMar w:left="320" w:top="319" w:right="339" w:bottom="1440" w:gutter="0" w:footer="0" w:header="0"/>
        </w:sect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Address for Rent Payment:</w:t>
      </w:r>
    </w:p>
    <w:p>
      <w:pPr>
        <w:ind w:left="20"/>
        <w:spacing w:after="0" w:line="223" w:lineRule="auto"/>
        <w:rPr>
          <w:sz w:val="20"/>
          <w:szCs w:val="20"/>
          <w:color w:val="auto"/>
        </w:rPr>
      </w:pPr>
      <w:r>
        <w:rPr>
          <w:rFonts w:ascii="Arial" w:cs="Arial" w:eastAsia="Arial" w:hAnsi="Arial"/>
          <w:sz w:val="18"/>
          <w:szCs w:val="18"/>
          <w:color w:val="auto"/>
        </w:rPr>
        <w:t>Gateway Portfolio Holdings LLC</w:t>
      </w:r>
    </w:p>
    <w:p>
      <w:pPr>
        <w:ind w:left="20"/>
        <w:spacing w:after="0" w:line="219" w:lineRule="auto"/>
        <w:rPr>
          <w:sz w:val="20"/>
          <w:szCs w:val="20"/>
          <w:color w:val="auto"/>
        </w:rPr>
      </w:pPr>
      <w:r>
        <w:rPr>
          <w:rFonts w:ascii="Arial" w:cs="Arial" w:eastAsia="Arial" w:hAnsi="Arial"/>
          <w:sz w:val="18"/>
          <w:szCs w:val="18"/>
          <w:color w:val="auto"/>
        </w:rPr>
        <w:t>P.O. Box 102430</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Pasadena, CA 91189-2430</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Landlord’s Notice Address:</w:t>
      </w:r>
    </w:p>
    <w:p>
      <w:pPr>
        <w:spacing w:after="0" w:line="223" w:lineRule="auto"/>
        <w:rPr>
          <w:sz w:val="20"/>
          <w:szCs w:val="20"/>
          <w:color w:val="auto"/>
        </w:rPr>
      </w:pPr>
      <w:r>
        <w:rPr>
          <w:rFonts w:ascii="Arial" w:cs="Arial" w:eastAsia="Arial" w:hAnsi="Arial"/>
          <w:sz w:val="18"/>
          <w:szCs w:val="18"/>
          <w:color w:val="auto"/>
        </w:rPr>
        <w:t>26 North Euclid Avenue</w:t>
      </w:r>
    </w:p>
    <w:p>
      <w:pPr>
        <w:spacing w:after="0" w:line="219" w:lineRule="auto"/>
        <w:rPr>
          <w:sz w:val="20"/>
          <w:szCs w:val="20"/>
          <w:color w:val="auto"/>
        </w:rPr>
      </w:pPr>
      <w:r>
        <w:rPr>
          <w:rFonts w:ascii="Arial" w:cs="Arial" w:eastAsia="Arial" w:hAnsi="Arial"/>
          <w:sz w:val="18"/>
          <w:szCs w:val="18"/>
          <w:color w:val="auto"/>
        </w:rPr>
        <w:t>Pasadena, CA 91101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Secretary</w:t>
      </w:r>
    </w:p>
    <w:p>
      <w:pPr>
        <w:spacing w:after="0" w:line="200" w:lineRule="exact"/>
        <w:rPr>
          <w:sz w:val="20"/>
          <w:szCs w:val="20"/>
          <w:color w:val="auto"/>
        </w:rPr>
      </w:pPr>
    </w:p>
    <w:p>
      <w:pPr>
        <w:sectPr>
          <w:pgSz w:w="11900" w:h="16838" w:orient="portrait"/>
          <w:cols w:equalWidth="0" w:num="2">
            <w:col w:w="6640" w:space="720"/>
            <w:col w:w="3880"/>
          </w:cols>
          <w:pgMar w:left="320" w:top="3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2"/>
          <w:szCs w:val="12"/>
          <w:color w:val="auto"/>
        </w:rPr>
        <w:t>744020481 20642931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type w:val="continuous"/>
        </w:sectPr>
      </w:pPr>
    </w:p>
    <w:bookmarkStart w:id="160" w:name="page161"/>
    <w:bookmarkEnd w:id="160"/>
    <w:p>
      <w:pPr>
        <w:ind w:left="20"/>
        <w:spacing w:after="0"/>
        <w:rPr>
          <w:sz w:val="20"/>
          <w:szCs w:val="20"/>
          <w:color w:val="auto"/>
        </w:rPr>
      </w:pPr>
      <w:r>
        <w:rPr>
          <w:rFonts w:ascii="Arial" w:cs="Arial" w:eastAsia="Arial" w:hAnsi="Arial"/>
          <w:sz w:val="18"/>
          <w:szCs w:val="18"/>
          <w:b w:val="1"/>
          <w:bCs w:val="1"/>
          <w:color w:val="auto"/>
        </w:rPr>
        <w:t>Tenant’s Notice Address</w:t>
      </w:r>
    </w:p>
    <w:p>
      <w:pPr>
        <w:ind w:left="20"/>
        <w:spacing w:after="0" w:line="223" w:lineRule="auto"/>
        <w:rPr>
          <w:sz w:val="20"/>
          <w:szCs w:val="20"/>
          <w:color w:val="auto"/>
        </w:rPr>
      </w:pPr>
      <w:r>
        <w:rPr>
          <w:rFonts w:ascii="Arial" w:cs="Arial" w:eastAsia="Arial" w:hAnsi="Arial"/>
          <w:sz w:val="18"/>
          <w:szCs w:val="18"/>
          <w:b w:val="1"/>
          <w:bCs w:val="1"/>
          <w:color w:val="auto"/>
        </w:rPr>
        <w:t>Prior to Commencement Date:</w:t>
      </w:r>
    </w:p>
    <w:p>
      <w:pPr>
        <w:ind w:left="20"/>
        <w:spacing w:after="0" w:line="219" w:lineRule="auto"/>
        <w:rPr>
          <w:sz w:val="20"/>
          <w:szCs w:val="20"/>
          <w:color w:val="auto"/>
        </w:rPr>
      </w:pPr>
      <w:r>
        <w:rPr>
          <w:rFonts w:ascii="Arial" w:cs="Arial" w:eastAsia="Arial" w:hAnsi="Arial"/>
          <w:sz w:val="18"/>
          <w:szCs w:val="18"/>
          <w:color w:val="auto"/>
        </w:rPr>
        <w:t>Aligos Therapeutics, Inc.</w:t>
      </w:r>
    </w:p>
    <w:p>
      <w:pPr>
        <w:ind w:left="20"/>
        <w:spacing w:after="0" w:line="220" w:lineRule="auto"/>
        <w:rPr>
          <w:sz w:val="20"/>
          <w:szCs w:val="20"/>
          <w:color w:val="auto"/>
        </w:rPr>
      </w:pPr>
      <w:r>
        <w:rPr>
          <w:rFonts w:ascii="Arial" w:cs="Arial" w:eastAsia="Arial" w:hAnsi="Arial"/>
          <w:sz w:val="18"/>
          <w:szCs w:val="18"/>
          <w:color w:val="auto"/>
        </w:rPr>
        <w:t>One Corporate Drive, 2</w:t>
      </w:r>
      <w:r>
        <w:rPr>
          <w:rFonts w:ascii="Arial" w:cs="Arial" w:eastAsia="Arial" w:hAnsi="Arial"/>
          <w:sz w:val="12"/>
          <w:szCs w:val="12"/>
          <w:color w:val="auto"/>
        </w:rPr>
        <w:t>nd</w:t>
      </w:r>
      <w:r>
        <w:rPr>
          <w:rFonts w:ascii="Arial" w:cs="Arial" w:eastAsia="Arial" w:hAnsi="Arial"/>
          <w:sz w:val="18"/>
          <w:szCs w:val="18"/>
          <w:color w:val="auto"/>
        </w:rPr>
        <w:t xml:space="preserve"> Floor</w:t>
      </w:r>
    </w:p>
    <w:p>
      <w:pPr>
        <w:ind w:left="20"/>
        <w:spacing w:after="0" w:line="232" w:lineRule="auto"/>
        <w:rPr>
          <w:sz w:val="20"/>
          <w:szCs w:val="20"/>
          <w:color w:val="auto"/>
        </w:rPr>
      </w:pPr>
      <w:r>
        <w:rPr>
          <w:rFonts w:ascii="Arial" w:cs="Arial" w:eastAsia="Arial" w:hAnsi="Arial"/>
          <w:sz w:val="17"/>
          <w:szCs w:val="17"/>
          <w:color w:val="auto"/>
        </w:rPr>
        <w:t>South San Francisco, California 94080</w:t>
      </w:r>
    </w:p>
    <w:p>
      <w:pPr>
        <w:ind w:left="20"/>
        <w:spacing w:after="0"/>
        <w:rPr>
          <w:sz w:val="20"/>
          <w:szCs w:val="20"/>
          <w:color w:val="auto"/>
        </w:rPr>
      </w:pPr>
      <w:r>
        <w:rPr>
          <w:rFonts w:ascii="Arial" w:cs="Arial" w:eastAsia="Arial" w:hAnsi="Arial"/>
          <w:sz w:val="18"/>
          <w:szCs w:val="18"/>
          <w:color w:val="auto"/>
        </w:rPr>
        <w:t>Attention: General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Tenant’s Notice Address</w:t>
      </w:r>
    </w:p>
    <w:p>
      <w:pPr>
        <w:spacing w:after="0" w:line="223" w:lineRule="auto"/>
        <w:rPr>
          <w:sz w:val="20"/>
          <w:szCs w:val="20"/>
          <w:color w:val="auto"/>
        </w:rPr>
      </w:pPr>
      <w:r>
        <w:rPr>
          <w:rFonts w:ascii="Arial" w:cs="Arial" w:eastAsia="Arial" w:hAnsi="Arial"/>
          <w:sz w:val="18"/>
          <w:szCs w:val="18"/>
          <w:b w:val="1"/>
          <w:bCs w:val="1"/>
          <w:color w:val="auto"/>
        </w:rPr>
        <w:t>After Commencement Date:</w:t>
      </w:r>
    </w:p>
    <w:p>
      <w:pPr>
        <w:spacing w:after="0" w:line="219" w:lineRule="auto"/>
        <w:rPr>
          <w:sz w:val="20"/>
          <w:szCs w:val="20"/>
          <w:color w:val="auto"/>
        </w:rPr>
      </w:pPr>
      <w:r>
        <w:rPr>
          <w:rFonts w:ascii="Arial" w:cs="Arial" w:eastAsia="Arial" w:hAnsi="Arial"/>
          <w:sz w:val="18"/>
          <w:szCs w:val="18"/>
          <w:color w:val="auto"/>
        </w:rPr>
        <w:t>601 Gateway Boulevard, Suite 900</w:t>
      </w:r>
    </w:p>
    <w:p>
      <w:pPr>
        <w:spacing w:after="0" w:line="233" w:lineRule="auto"/>
        <w:rPr>
          <w:sz w:val="20"/>
          <w:szCs w:val="20"/>
          <w:color w:val="auto"/>
        </w:rPr>
      </w:pPr>
      <w:r>
        <w:rPr>
          <w:rFonts w:ascii="Arial" w:cs="Arial" w:eastAsia="Arial" w:hAnsi="Arial"/>
          <w:sz w:val="17"/>
          <w:szCs w:val="17"/>
          <w:color w:val="auto"/>
        </w:rPr>
        <w:t>South San Francisco, California 94080</w:t>
      </w:r>
    </w:p>
    <w:p>
      <w:pPr>
        <w:spacing w:after="0"/>
        <w:rPr>
          <w:sz w:val="20"/>
          <w:szCs w:val="20"/>
          <w:color w:val="auto"/>
        </w:rPr>
      </w:pPr>
      <w:r>
        <w:rPr>
          <w:rFonts w:ascii="Arial" w:cs="Arial" w:eastAsia="Arial" w:hAnsi="Arial"/>
          <w:sz w:val="18"/>
          <w:szCs w:val="18"/>
          <w:color w:val="auto"/>
        </w:rPr>
        <w:t>Attention: General Counsel</w:t>
      </w:r>
    </w:p>
    <w:p>
      <w:pPr>
        <w:spacing w:after="0" w:line="389" w:lineRule="exact"/>
        <w:rPr>
          <w:sz w:val="20"/>
          <w:szCs w:val="20"/>
          <w:color w:val="auto"/>
        </w:rPr>
      </w:pPr>
    </w:p>
    <w:p>
      <w:pPr>
        <w:sectPr>
          <w:pgSz w:w="11900" w:h="16838" w:orient="portrait"/>
          <w:cols w:equalWidth="0" w:num="2">
            <w:col w:w="6760" w:space="720"/>
            <w:col w:w="3740"/>
          </w:cols>
          <w:pgMar w:left="320" w:top="1318" w:right="359" w:bottom="1440" w:gutter="0" w:footer="0" w:header="0"/>
        </w:sect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and Addenda are attached hereto and incorporated herein by this reference:</w:t>
      </w:r>
    </w:p>
    <w:p>
      <w:pPr>
        <w:sectPr>
          <w:pgSz w:w="11900" w:h="16838" w:orient="portrait"/>
          <w:cols w:equalWidth="0" w:num="1">
            <w:col w:w="11220"/>
          </w:cols>
          <w:pgMar w:left="320" w:top="1318" w:right="359" w:bottom="1440" w:gutter="0" w:footer="0" w:header="0"/>
          <w:type w:val="continuous"/>
        </w:sectPr>
      </w:pPr>
    </w:p>
    <w:p>
      <w:pPr>
        <w:spacing w:after="0" w:line="1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 PREMISES DESCRIPTION</w:t>
      </w:r>
    </w:p>
    <w:p>
      <w:pPr>
        <w:ind w:left="20"/>
        <w:spacing w:after="0" w:line="223" w:lineRule="auto"/>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 WORK LETTER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E</w:t>
      </w:r>
      <w:r>
        <w:rPr>
          <w:rFonts w:ascii="Arial" w:cs="Arial" w:eastAsia="Arial" w:hAnsi="Arial"/>
          <w:sz w:val="18"/>
          <w:szCs w:val="18"/>
          <w:color w:val="auto"/>
        </w:rPr>
        <w:t xml:space="preserve"> - RULES AND REGULATIONS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 DESCRIPTION OF PROJECT</w:t>
      </w:r>
    </w:p>
    <w:p>
      <w:pPr>
        <w:spacing w:after="0" w:line="223" w:lineRule="auto"/>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 COMMENCEMENT DATE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F</w:t>
      </w:r>
      <w:r>
        <w:rPr>
          <w:rFonts w:ascii="Arial" w:cs="Arial" w:eastAsia="Arial" w:hAnsi="Arial"/>
          <w:sz w:val="18"/>
          <w:szCs w:val="18"/>
          <w:color w:val="auto"/>
        </w:rPr>
        <w:t xml:space="preserve"> - TENANT’S PERSONAL PROPERTY</w:t>
      </w:r>
    </w:p>
    <w:p>
      <w:pPr>
        <w:spacing w:after="0" w:line="200" w:lineRule="exact"/>
        <w:rPr>
          <w:sz w:val="20"/>
          <w:szCs w:val="20"/>
          <w:color w:val="auto"/>
        </w:rPr>
      </w:pPr>
    </w:p>
    <w:p>
      <w:pPr>
        <w:sectPr>
          <w:pgSz w:w="11900" w:h="16838" w:orient="portrait"/>
          <w:cols w:equalWidth="0" w:num="2">
            <w:col w:w="5380" w:space="720"/>
            <w:col w:w="5120"/>
          </w:cols>
          <w:pgMar w:left="320" w:top="1318" w:right="359" w:bottom="1440" w:gutter="0" w:footer="0" w:header="0"/>
          <w:type w:val="continuous"/>
        </w:sectPr>
      </w:pPr>
    </w:p>
    <w:p>
      <w:pPr>
        <w:spacing w:after="0" w:line="17" w:lineRule="exact"/>
        <w:rPr>
          <w:sz w:val="20"/>
          <w:szCs w:val="20"/>
          <w:color w:val="auto"/>
        </w:rPr>
      </w:pPr>
    </w:p>
    <w:p>
      <w:pPr>
        <w:ind w:right="60" w:firstLine="8"/>
        <w:spacing w:after="0" w:line="238" w:lineRule="auto"/>
        <w:tabs>
          <w:tab w:leader="none" w:pos="2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Lease of Premises</w:t>
      </w:r>
      <w:r>
        <w:rPr>
          <w:rFonts w:ascii="Arial" w:cs="Arial" w:eastAsia="Arial" w:hAnsi="Arial"/>
          <w:sz w:val="18"/>
          <w:szCs w:val="18"/>
          <w:color w:val="auto"/>
        </w:rPr>
        <w:t>. Upon and subject to all of the terms and conditions hereof, Landlord hereby leases the Premises to Tenant and</w:t>
      </w:r>
      <w:r>
        <w:rPr>
          <w:rFonts w:ascii="Arial" w:cs="Arial" w:eastAsia="Arial" w:hAnsi="Arial"/>
          <w:sz w:val="18"/>
          <w:szCs w:val="18"/>
          <w:b w:val="1"/>
          <w:bCs w:val="1"/>
          <w:color w:val="auto"/>
        </w:rPr>
        <w:t xml:space="preserve"> </w:t>
      </w:r>
      <w:r>
        <w:rPr>
          <w:rFonts w:ascii="Arial" w:cs="Arial" w:eastAsia="Arial" w:hAnsi="Arial"/>
          <w:sz w:val="18"/>
          <w:szCs w:val="18"/>
          <w:color w:val="auto"/>
        </w:rPr>
        <w:t>Tenant hereby leases the Premises from Landlord. The portions of the Project which are for the non-exclusive use of tenants of the Project are collectively referred to herein as the “</w:t>
      </w:r>
      <w:r>
        <w:rPr>
          <w:rFonts w:ascii="Arial" w:cs="Arial" w:eastAsia="Arial" w:hAnsi="Arial"/>
          <w:sz w:val="18"/>
          <w:szCs w:val="18"/>
          <w:b w:val="1"/>
          <w:bCs w:val="1"/>
          <w:color w:val="auto"/>
        </w:rPr>
        <w:t>Common Areas</w:t>
      </w:r>
      <w:r>
        <w:rPr>
          <w:rFonts w:ascii="Arial" w:cs="Arial" w:eastAsia="Arial" w:hAnsi="Arial"/>
          <w:sz w:val="18"/>
          <w:szCs w:val="18"/>
          <w:color w:val="auto"/>
        </w:rPr>
        <w:t xml:space="preserve">.” The Common Areas shall include, without limitation, any amenities now or hereafter located in, on or otherwise serving the Project, if any, as may exist from time to time (as determined by Landlord, in Landlord’s sole and absolute discretion) and made available, except for temporary interruptions and/or Force Majeure (as defined in </w:t>
      </w:r>
      <w:r>
        <w:rPr>
          <w:rFonts w:ascii="Arial" w:cs="Arial" w:eastAsia="Arial" w:hAnsi="Arial"/>
          <w:sz w:val="18"/>
          <w:szCs w:val="18"/>
          <w:u w:val="single" w:color="auto"/>
          <w:color w:val="auto"/>
        </w:rPr>
        <w:t>Section 34</w:t>
      </w:r>
      <w:r>
        <w:rPr>
          <w:rFonts w:ascii="Arial" w:cs="Arial" w:eastAsia="Arial" w:hAnsi="Arial"/>
          <w:sz w:val="18"/>
          <w:szCs w:val="18"/>
          <w:color w:val="auto"/>
        </w:rPr>
        <w:t>), for use by Tenant and one or more other tenants of the Project and/or third parties (each, a “</w:t>
      </w:r>
      <w:r>
        <w:rPr>
          <w:rFonts w:ascii="Arial" w:cs="Arial" w:eastAsia="Arial" w:hAnsi="Arial"/>
          <w:sz w:val="18"/>
          <w:szCs w:val="18"/>
          <w:b w:val="1"/>
          <w:bCs w:val="1"/>
          <w:color w:val="auto"/>
        </w:rPr>
        <w:t>Project Amenity</w:t>
      </w:r>
      <w:r>
        <w:rPr>
          <w:rFonts w:ascii="Arial" w:cs="Arial" w:eastAsia="Arial" w:hAnsi="Arial"/>
          <w:sz w:val="18"/>
          <w:szCs w:val="18"/>
          <w:color w:val="auto"/>
        </w:rPr>
        <w:t>” and collectively, the “</w:t>
      </w:r>
      <w:r>
        <w:rPr>
          <w:rFonts w:ascii="Arial" w:cs="Arial" w:eastAsia="Arial" w:hAnsi="Arial"/>
          <w:sz w:val="18"/>
          <w:szCs w:val="18"/>
          <w:b w:val="1"/>
          <w:bCs w:val="1"/>
          <w:color w:val="auto"/>
        </w:rPr>
        <w:t>Project</w:t>
      </w:r>
      <w:r>
        <w:rPr>
          <w:rFonts w:ascii="Arial" w:cs="Arial" w:eastAsia="Arial" w:hAnsi="Arial"/>
          <w:sz w:val="18"/>
          <w:szCs w:val="18"/>
          <w:color w:val="auto"/>
        </w:rPr>
        <w:t xml:space="preserve"> </w:t>
      </w:r>
      <w:r>
        <w:rPr>
          <w:rFonts w:ascii="Arial" w:cs="Arial" w:eastAsia="Arial" w:hAnsi="Arial"/>
          <w:sz w:val="18"/>
          <w:szCs w:val="18"/>
          <w:b w:val="1"/>
          <w:bCs w:val="1"/>
          <w:color w:val="auto"/>
        </w:rPr>
        <w:t>Amenities</w:t>
      </w:r>
      <w:r>
        <w:rPr>
          <w:rFonts w:ascii="Arial" w:cs="Arial" w:eastAsia="Arial" w:hAnsi="Arial"/>
          <w:sz w:val="18"/>
          <w:szCs w:val="18"/>
          <w:color w:val="auto"/>
        </w:rPr>
        <w:t>”). Landlord reserves the right to modify Common Areas, provided that such modifications do not materially adversely affect</w:t>
      </w:r>
      <w:r>
        <w:rPr>
          <w:rFonts w:ascii="Arial" w:cs="Arial" w:eastAsia="Arial" w:hAnsi="Arial"/>
          <w:sz w:val="18"/>
          <w:szCs w:val="18"/>
          <w:b w:val="1"/>
          <w:bCs w:val="1"/>
          <w:color w:val="auto"/>
        </w:rPr>
        <w:t xml:space="preserve"> </w:t>
      </w:r>
      <w:r>
        <w:rPr>
          <w:rFonts w:ascii="Arial" w:cs="Arial" w:eastAsia="Arial" w:hAnsi="Arial"/>
          <w:sz w:val="18"/>
          <w:szCs w:val="18"/>
          <w:color w:val="auto"/>
        </w:rPr>
        <w:t>Tenant’s use of the Premises for the Permitted Use. From and after the Commencement Date through the expiration of the Term, Tenant shall have access to the Building and the Premises 24 hours a day, 7 days a week, except in the case of emergencies, as the result of Legal Requirements, the performance by Landlord of any installation, maintenance or repairs, or any other temporary interruptions, and otherwise subject to the terms of this Lease.</w:t>
      </w:r>
    </w:p>
    <w:p>
      <w:pPr>
        <w:spacing w:after="0" w:line="185" w:lineRule="exact"/>
        <w:rPr>
          <w:rFonts w:ascii="Arial" w:cs="Arial" w:eastAsia="Arial" w:hAnsi="Arial"/>
          <w:sz w:val="18"/>
          <w:szCs w:val="18"/>
          <w:color w:val="auto"/>
        </w:rPr>
      </w:pPr>
    </w:p>
    <w:p>
      <w:pPr>
        <w:ind w:left="200" w:hanging="192"/>
        <w:spacing w:after="0"/>
        <w:tabs>
          <w:tab w:leader="none" w:pos="2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Delivery; Acceptance of Premises; Commencement Date</w:t>
      </w:r>
      <w:r>
        <w:rPr>
          <w:rFonts w:ascii="Arial" w:cs="Arial" w:eastAsia="Arial" w:hAnsi="Arial"/>
          <w:sz w:val="18"/>
          <w:szCs w:val="18"/>
          <w:color w:val="auto"/>
        </w:rPr>
        <w:t>.</w:t>
      </w:r>
    </w:p>
    <w:p>
      <w:pPr>
        <w:spacing w:after="0" w:line="21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Commencement Date</w:t>
      </w:r>
      <w:r>
        <w:rPr>
          <w:rFonts w:ascii="Arial" w:cs="Arial" w:eastAsia="Arial" w:hAnsi="Arial"/>
          <w:sz w:val="18"/>
          <w:szCs w:val="18"/>
          <w:color w:val="auto"/>
        </w:rPr>
        <w:t>” shall be one business day after the mutual execution of this Lease by the parties. Landlord shall deliver the Premises to Tenant on the Commencement Date for Tenant’s construction of the Tenant Improvements (as defined in the Work Letter) under the Work Letter. The “</w:t>
      </w:r>
      <w:r>
        <w:rPr>
          <w:rFonts w:ascii="Arial" w:cs="Arial" w:eastAsia="Arial" w:hAnsi="Arial"/>
          <w:sz w:val="18"/>
          <w:szCs w:val="18"/>
          <w:b w:val="1"/>
          <w:bCs w:val="1"/>
          <w:color w:val="auto"/>
        </w:rPr>
        <w:t>Rent Commencement Date</w:t>
      </w:r>
      <w:r>
        <w:rPr>
          <w:rFonts w:ascii="Arial" w:cs="Arial" w:eastAsia="Arial" w:hAnsi="Arial"/>
          <w:sz w:val="18"/>
          <w:szCs w:val="18"/>
          <w:color w:val="auto"/>
        </w:rPr>
        <w:t xml:space="preserve">” shall be the earlier of: (i) 180 days after the Commencement Date and (ii) the date Tenant conducts any business in the Premises or any part thereof. Upon request of Landlord, Tenant shall execute and deliver a written acknowledgment of the Commencement Date, the Rent Commencement Date and the expiration date of the Term when such are established in the form of the “Acknowledgement of Commencement Date” attached to this Lease as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Tenant’s failure to execute and deliver such acknowledgment shall not affect Landlord’s rights hereunder. The “</w:t>
      </w:r>
      <w:r>
        <w:rPr>
          <w:rFonts w:ascii="Arial" w:cs="Arial" w:eastAsia="Arial" w:hAnsi="Arial"/>
          <w:sz w:val="18"/>
          <w:szCs w:val="18"/>
          <w:b w:val="1"/>
          <w:bCs w:val="1"/>
          <w:color w:val="auto"/>
        </w:rPr>
        <w:t>Term</w:t>
      </w:r>
      <w:r>
        <w:rPr>
          <w:rFonts w:ascii="Arial" w:cs="Arial" w:eastAsia="Arial" w:hAnsi="Arial"/>
          <w:sz w:val="18"/>
          <w:szCs w:val="18"/>
          <w:color w:val="auto"/>
        </w:rPr>
        <w:t xml:space="preserve">” of this Lease shall be the Base Term, as defined above on the first page of this Lease and the Extension Term which Tenant may elect pursuant to </w:t>
      </w:r>
      <w:r>
        <w:rPr>
          <w:rFonts w:ascii="Arial" w:cs="Arial" w:eastAsia="Arial" w:hAnsi="Arial"/>
          <w:sz w:val="18"/>
          <w:szCs w:val="18"/>
          <w:u w:val="single" w:color="auto"/>
          <w:color w:val="auto"/>
        </w:rPr>
        <w:t>Section 39</w:t>
      </w:r>
      <w:r>
        <w:rPr>
          <w:rFonts w:ascii="Arial" w:cs="Arial" w:eastAsia="Arial" w:hAnsi="Arial"/>
          <w:sz w:val="18"/>
          <w:szCs w:val="18"/>
          <w:color w:val="auto"/>
        </w:rPr>
        <w:t>hereof.</w:t>
      </w:r>
    </w:p>
    <w:p>
      <w:pPr>
        <w:spacing w:after="0" w:line="202" w:lineRule="exact"/>
        <w:rPr>
          <w:sz w:val="20"/>
          <w:szCs w:val="20"/>
          <w:color w:val="auto"/>
        </w:rPr>
      </w:pPr>
    </w:p>
    <w:p>
      <w:pPr>
        <w:ind w:right="300" w:firstLine="749"/>
        <w:spacing w:after="0" w:line="238" w:lineRule="auto"/>
        <w:rPr>
          <w:sz w:val="20"/>
          <w:szCs w:val="20"/>
          <w:color w:val="auto"/>
        </w:rPr>
      </w:pPr>
      <w:r>
        <w:rPr>
          <w:rFonts w:ascii="Arial" w:cs="Arial" w:eastAsia="Arial" w:hAnsi="Arial"/>
          <w:sz w:val="18"/>
          <w:szCs w:val="18"/>
          <w:color w:val="auto"/>
        </w:rPr>
        <w:t>Except as set forth in the Work Letter: (i) Tenant shall accept the Premises in their condition as of the Commencement Date; (ii) Landlord shall have no obligation for any defects in the Premises, except as set forth in the next succeeding paragraph; and (iii) Tenant’s taking possession of the Premises shall be conclusive evidence that Tenant accepts the Premises and that the Premises were in good condition at the time possession was taken.</w:t>
      </w:r>
    </w:p>
    <w:p>
      <w:pPr>
        <w:spacing w:after="0" w:line="205" w:lineRule="exact"/>
        <w:rPr>
          <w:sz w:val="20"/>
          <w:szCs w:val="20"/>
          <w:color w:val="auto"/>
        </w:rPr>
      </w:pPr>
    </w:p>
    <w:p>
      <w:pPr>
        <w:jc w:val="both"/>
        <w:ind w:right="20" w:firstLine="749"/>
        <w:spacing w:after="0" w:line="238" w:lineRule="auto"/>
        <w:rPr>
          <w:sz w:val="20"/>
          <w:szCs w:val="20"/>
          <w:color w:val="auto"/>
        </w:rPr>
      </w:pPr>
      <w:r>
        <w:rPr>
          <w:rFonts w:ascii="Arial" w:cs="Arial" w:eastAsia="Arial" w:hAnsi="Arial"/>
          <w:sz w:val="18"/>
          <w:szCs w:val="18"/>
          <w:color w:val="auto"/>
        </w:rPr>
        <w:t xml:space="preserve">For the period of 30 consecutive days after the Commencement Date, Landlord shall, at its sole cost and expense (which shall not constitute an Operating Expense), be responsible for any repairs that are required to be made to the Building Systems (as defined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13</w:t>
      </w:r>
      <w:r>
        <w:rPr>
          <w:rFonts w:ascii="Arial" w:cs="Arial" w:eastAsia="Arial" w:hAnsi="Arial"/>
          <w:sz w:val="18"/>
          <w:szCs w:val="18"/>
          <w:color w:val="auto"/>
        </w:rPr>
        <w:t>) serving the Premises, unless Tenant or any Tenant Party was responsible for the cause of such repair, in which case Tenant shall pay the cost.</w:t>
      </w:r>
    </w:p>
    <w:p>
      <w:pPr>
        <w:spacing w:after="0" w:line="205"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Tenant agrees and acknowledges that neither Landlord nor any agent of Landlord has made any representation or warranty with respect to the condition of all or any portion of the Premises or the Project, and/or the suitability of the Premises or the Project for the conduct of Tenant’s business, and Tenant waives any implied warranty that the Premises or the Project are suitable for the Permitted Use. This Lease constitutes the complete agreement of Landlord and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8" w:right="359" w:bottom="1440" w:gutter="0" w:footer="0" w:header="0"/>
          <w:type w:val="continuous"/>
        </w:sectPr>
      </w:pPr>
    </w:p>
    <w:bookmarkStart w:id="161" w:name="page162"/>
    <w:bookmarkEnd w:id="161"/>
    <w:p>
      <w:pPr>
        <w:ind w:right="740"/>
        <w:spacing w:after="0"/>
        <w:rPr>
          <w:sz w:val="20"/>
          <w:szCs w:val="20"/>
          <w:color w:val="auto"/>
        </w:rPr>
      </w:pPr>
      <w:r>
        <w:rPr>
          <w:rFonts w:ascii="Arial" w:cs="Arial" w:eastAsia="Arial" w:hAnsi="Arial"/>
          <w:sz w:val="18"/>
          <w:szCs w:val="18"/>
          <w:color w:val="auto"/>
        </w:rPr>
        <w:t>with respect to the subject matter hereof and supersedes any and all prior representations, inducements, promises, agreements, understandings and negotiations which are not contained herein. Landlord in executing this Lease does so in reliance upon Tenant’s representations, warranties, acknowledgments and agreements contained herein.</w:t>
      </w:r>
    </w:p>
    <w:p>
      <w:pPr>
        <w:spacing w:after="0" w:line="181" w:lineRule="exact"/>
        <w:rPr>
          <w:sz w:val="20"/>
          <w:szCs w:val="20"/>
          <w:color w:val="auto"/>
        </w:rPr>
      </w:pPr>
    </w:p>
    <w:p>
      <w:pPr>
        <w:ind w:left="200" w:hanging="192"/>
        <w:spacing w:after="0"/>
        <w:tabs>
          <w:tab w:leader="none" w:pos="20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Base Rent</w:t>
      </w:r>
      <w:r>
        <w:rPr>
          <w:rFonts w:ascii="Arial" w:cs="Arial" w:eastAsia="Arial" w:hAnsi="Arial"/>
          <w:sz w:val="18"/>
          <w:szCs w:val="18"/>
          <w:color w:val="auto"/>
        </w:rPr>
        <w:t xml:space="preserve">. Base Rent for the month in which the Rent Commencement Date occurs (or, if the Rent Commencement Date does not occur on the first day of a calendar month, Base Rent for the first full calendar month following the Rent Commencement Date) and the Security Deposit shall be due and payable concurrently with Tenant’s delivery of an executed copy of this Lease to Landlord. Tenant shall pay to Landlord in advance, without demand, abatement (except for any abatement as may be expressly provided in this Lease), deduction or set-off, monthly installments of Base Rent on or before the first day of each calendar month during the Term hereof after the Rent Commencement Date, in lawful money of the United States of America, at the office of Landlord for payment of Rent set forth above, or to such other person or at such other place as Landlord may from time to time designate in writing, or via federally insured wire transfer (including ACH) pursuant to the wire instructions provided by Landlord. Payments of Base Rent for any fractional calendar month shall be prorated. The obligation of Tenant to pay Base Rent and other sums to Landlord and the obligations of Landlord under this Lease are independent obligations. Tenant shall have no right at any time to abate, reduce, or set-off any Rent (as defined in </w:t>
      </w:r>
      <w:r>
        <w:rPr>
          <w:rFonts w:ascii="Arial" w:cs="Arial" w:eastAsia="Arial" w:hAnsi="Arial"/>
          <w:sz w:val="18"/>
          <w:szCs w:val="18"/>
          <w:u w:val="single" w:color="auto"/>
          <w:color w:val="auto"/>
        </w:rPr>
        <w:t>Section 5</w:t>
      </w:r>
      <w:r>
        <w:rPr>
          <w:rFonts w:ascii="Arial" w:cs="Arial" w:eastAsia="Arial" w:hAnsi="Arial"/>
          <w:sz w:val="18"/>
          <w:szCs w:val="18"/>
          <w:color w:val="auto"/>
        </w:rPr>
        <w:t>) due hereunder except for any abatement as may be expressly provided in this Lease.</w:t>
      </w:r>
    </w:p>
    <w:p>
      <w:pPr>
        <w:spacing w:after="0" w:line="208" w:lineRule="exact"/>
        <w:rPr>
          <w:sz w:val="20"/>
          <w:szCs w:val="20"/>
          <w:color w:val="auto"/>
        </w:rPr>
      </w:pPr>
    </w:p>
    <w:p>
      <w:pPr>
        <w:ind w:right="140" w:firstLine="749"/>
        <w:spacing w:after="0" w:line="238" w:lineRule="auto"/>
        <w:rPr>
          <w:sz w:val="20"/>
          <w:szCs w:val="20"/>
          <w:color w:val="auto"/>
        </w:rPr>
      </w:pPr>
      <w:r>
        <w:rPr>
          <w:rFonts w:ascii="Arial" w:cs="Arial" w:eastAsia="Arial" w:hAnsi="Arial"/>
          <w:sz w:val="18"/>
          <w:szCs w:val="18"/>
          <w:color w:val="auto"/>
        </w:rPr>
        <w:t>Notwithstanding anything to the contrary contained in this Lease, so long as Tenant is not in Default under this Lease, Tenant shall not be required to pay Base Rent for the period of 90 consecutive calendar days immediately following the Rent Commencement Date (the “</w:t>
      </w:r>
      <w:r>
        <w:rPr>
          <w:rFonts w:ascii="Arial" w:cs="Arial" w:eastAsia="Arial" w:hAnsi="Arial"/>
          <w:sz w:val="18"/>
          <w:szCs w:val="18"/>
          <w:b w:val="1"/>
          <w:bCs w:val="1"/>
          <w:color w:val="auto"/>
        </w:rPr>
        <w:t>Base Rent Abatement Period</w:t>
      </w:r>
      <w:r>
        <w:rPr>
          <w:rFonts w:ascii="Arial" w:cs="Arial" w:eastAsia="Arial" w:hAnsi="Arial"/>
          <w:sz w:val="18"/>
          <w:szCs w:val="18"/>
          <w:color w:val="auto"/>
        </w:rPr>
        <w:t>”). Tenant shall commence paying Base Rent on the calendar day following the Base Rent Abatement Period.</w:t>
      </w:r>
    </w:p>
    <w:p>
      <w:pPr>
        <w:spacing w:after="0" w:line="183"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Additional Rent</w:t>
      </w:r>
      <w:r>
        <w:rPr>
          <w:rFonts w:ascii="Arial" w:cs="Arial" w:eastAsia="Arial" w:hAnsi="Arial"/>
          <w:sz w:val="18"/>
          <w:szCs w:val="18"/>
          <w:color w:val="auto"/>
        </w:rPr>
        <w:t>. In addition to Base Rent, Tenant agrees to pay to Landlord as additional rent (“</w:t>
      </w:r>
      <w:r>
        <w:rPr>
          <w:rFonts w:ascii="Arial" w:cs="Arial" w:eastAsia="Arial" w:hAnsi="Arial"/>
          <w:sz w:val="18"/>
          <w:szCs w:val="18"/>
          <w:b w:val="1"/>
          <w:bCs w:val="1"/>
          <w:color w:val="auto"/>
        </w:rPr>
        <w:t>Additional Rent</w:t>
      </w:r>
      <w:r>
        <w:rPr>
          <w:rFonts w:ascii="Arial" w:cs="Arial" w:eastAsia="Arial" w:hAnsi="Arial"/>
          <w:sz w:val="18"/>
          <w:szCs w:val="18"/>
          <w:color w:val="auto"/>
        </w:rPr>
        <w:t xml:space="preserve">”): (i) commencing on January 1, 2023, Tenant’s Share of “Excess Operating Expenses” (as defined in </w:t>
      </w:r>
      <w:r>
        <w:rPr>
          <w:rFonts w:ascii="Arial" w:cs="Arial" w:eastAsia="Arial" w:hAnsi="Arial"/>
          <w:sz w:val="18"/>
          <w:szCs w:val="18"/>
          <w:u w:val="single" w:color="auto"/>
          <w:color w:val="auto"/>
        </w:rPr>
        <w:t>Section 5</w:t>
      </w:r>
      <w:r>
        <w:rPr>
          <w:rFonts w:ascii="Arial" w:cs="Arial" w:eastAsia="Arial" w:hAnsi="Arial"/>
          <w:sz w:val="18"/>
          <w:szCs w:val="18"/>
          <w:color w:val="auto"/>
        </w:rPr>
        <w:t>), and (ii) any and all other amounts Tenant assumes or agrees to pay under the provisions of this Lease, including, without limitation, any and all other sums that may become due by reason of any default of Tenant or failure to comply with the agreements, terms, covenants and conditions of this Lease to be performed by Tenant, after any applicable notice and cure period.</w:t>
      </w:r>
    </w:p>
    <w:p>
      <w:pPr>
        <w:spacing w:after="0" w:line="176" w:lineRule="exact"/>
        <w:rPr>
          <w:sz w:val="20"/>
          <w:szCs w:val="20"/>
          <w:color w:val="auto"/>
        </w:rPr>
      </w:pPr>
    </w:p>
    <w:p>
      <w:pPr>
        <w:ind w:left="200" w:hanging="192"/>
        <w:spacing w:after="0"/>
        <w:tabs>
          <w:tab w:leader="none" w:pos="20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Base Rent Adjustments</w:t>
      </w:r>
      <w:r>
        <w:rPr>
          <w:rFonts w:ascii="Arial" w:cs="Arial" w:eastAsia="Arial" w:hAnsi="Arial"/>
          <w:sz w:val="18"/>
          <w:szCs w:val="18"/>
          <w:color w:val="auto"/>
        </w:rPr>
        <w:t>.</w:t>
      </w:r>
    </w:p>
    <w:p>
      <w:pPr>
        <w:spacing w:after="0" w:line="2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 Base Rent shall be increased on each annual anniversary of the Rent Commencement Date (provided, however, that if the Rent Commencement Date occurs on a day other than the first day of a calendar month, then Base Rent shall be increased on each annual anniversary of the first day of the first full calendar month immediately following the Rent Commencement Date) (each an “</w:t>
      </w:r>
      <w:r>
        <w:rPr>
          <w:rFonts w:ascii="Arial" w:cs="Arial" w:eastAsia="Arial" w:hAnsi="Arial"/>
          <w:sz w:val="18"/>
          <w:szCs w:val="18"/>
          <w:b w:val="1"/>
          <w:bCs w:val="1"/>
          <w:color w:val="auto"/>
        </w:rPr>
        <w:t>Adjustment</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by multiplying the Base Rent payable immediately before such Adjustment Date by the Rent Adjustment Percentage and adding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amount to the Base Rent payable immediately before such Adjustment Date. Base Rent, as so adjusted, shall thereafter be due as provided herein. Base Rent adjustments for any fractional calendar month shall be prorated.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Additional TI Allowance</w:t>
      </w:r>
      <w:r>
        <w:rPr>
          <w:rFonts w:ascii="Arial" w:cs="Arial" w:eastAsia="Arial" w:hAnsi="Arial"/>
          <w:sz w:val="18"/>
          <w:szCs w:val="18"/>
          <w:color w:val="auto"/>
        </w:rPr>
        <w:t>. In addition to the Tenant Improvement Allowance (as defined in the Work Letter), Landlord, shall, subject to the terms of the Work Letter, make available to Tenant the Additional Tenant Improvement Allowance (as defined in the Work Letter). Commencing on the Rent Commencement Date and continuing thereafter on the first day of each month during the Base Term, Tenant shall pay the amount necessary to fully amortize the portion of the Additional Tenant Improvement Allowance actually funded by Landlord, if any, in equal monthly payments with interest at a rate of 7% per annum over the Base Term, which interest shall begin to accrue on the date that Landlord first disburses such Additional Tenant Improvement Allowance or any portion(s) thereof (“</w:t>
      </w:r>
      <w:r>
        <w:rPr>
          <w:rFonts w:ascii="Arial" w:cs="Arial" w:eastAsia="Arial" w:hAnsi="Arial"/>
          <w:sz w:val="18"/>
          <w:szCs w:val="18"/>
          <w:b w:val="1"/>
          <w:bCs w:val="1"/>
          <w:color w:val="auto"/>
        </w:rPr>
        <w:t>TI Rent</w:t>
      </w:r>
      <w:r>
        <w:rPr>
          <w:rFonts w:ascii="Arial" w:cs="Arial" w:eastAsia="Arial" w:hAnsi="Arial"/>
          <w:sz w:val="18"/>
          <w:szCs w:val="18"/>
          <w:color w:val="auto"/>
        </w:rPr>
        <w:t>”). Any TI Rent remaining unpaid as of the expiration or earlier termination of this Lease shall be paid to Landlord in a lump sum at the expiration or earlier termination of this Lease.</w:t>
      </w:r>
    </w:p>
    <w:p>
      <w:pPr>
        <w:spacing w:after="0" w:line="180" w:lineRule="exact"/>
        <w:rPr>
          <w:sz w:val="20"/>
          <w:szCs w:val="20"/>
          <w:color w:val="auto"/>
        </w:rPr>
      </w:pPr>
    </w:p>
    <w:p>
      <w:pPr>
        <w:ind w:right="20" w:firstLine="8"/>
        <w:spacing w:after="0" w:line="257" w:lineRule="auto"/>
        <w:tabs>
          <w:tab w:leader="none" w:pos="200"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Operating Expense Payments</w:t>
      </w:r>
      <w:r>
        <w:rPr>
          <w:rFonts w:ascii="Arial" w:cs="Arial" w:eastAsia="Arial" w:hAnsi="Arial"/>
          <w:sz w:val="17"/>
          <w:szCs w:val="17"/>
          <w:color w:val="auto"/>
        </w:rPr>
        <w:t>. Landlord shall deliver to Tenant a written estimate of Operating Expenses for each calendar year during</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 (the “</w:t>
      </w:r>
      <w:r>
        <w:rPr>
          <w:rFonts w:ascii="Arial" w:cs="Arial" w:eastAsia="Arial" w:hAnsi="Arial"/>
          <w:sz w:val="17"/>
          <w:szCs w:val="17"/>
          <w:b w:val="1"/>
          <w:bCs w:val="1"/>
          <w:color w:val="auto"/>
        </w:rPr>
        <w:t>Annual Estimate</w:t>
      </w:r>
      <w:r>
        <w:rPr>
          <w:rFonts w:ascii="Arial" w:cs="Arial" w:eastAsia="Arial" w:hAnsi="Arial"/>
          <w:sz w:val="17"/>
          <w:szCs w:val="17"/>
          <w:color w:val="auto"/>
        </w:rPr>
        <w:t>”), which may be revised by Landlord from time to time during such calendar year. Commencing on January 1, 2023, and continuing thereafter on the first day of each month during the Term, Tenant shall pay Landlord an amount equal to 1/12th of Tenant’s Share of the Excess Operating Expenses. Payments for any fractional calendar month shall be prorated. The term “</w:t>
      </w:r>
      <w:r>
        <w:rPr>
          <w:rFonts w:ascii="Arial" w:cs="Arial" w:eastAsia="Arial" w:hAnsi="Arial"/>
          <w:sz w:val="17"/>
          <w:szCs w:val="17"/>
          <w:b w:val="1"/>
          <w:bCs w:val="1"/>
          <w:color w:val="auto"/>
        </w:rPr>
        <w:t>Excess</w:t>
      </w:r>
      <w:r>
        <w:rPr>
          <w:rFonts w:ascii="Arial" w:cs="Arial" w:eastAsia="Arial" w:hAnsi="Arial"/>
          <w:sz w:val="17"/>
          <w:szCs w:val="17"/>
          <w:color w:val="auto"/>
        </w:rPr>
        <w:t xml:space="preserve"> </w:t>
      </w:r>
      <w:r>
        <w:rPr>
          <w:rFonts w:ascii="Arial" w:cs="Arial" w:eastAsia="Arial" w:hAnsi="Arial"/>
          <w:sz w:val="17"/>
          <w:szCs w:val="17"/>
          <w:b w:val="1"/>
          <w:bCs w:val="1"/>
          <w:color w:val="auto"/>
        </w:rPr>
        <w:t>Operating Expenses</w:t>
      </w:r>
      <w:r>
        <w:rPr>
          <w:rFonts w:ascii="Arial" w:cs="Arial" w:eastAsia="Arial" w:hAnsi="Arial"/>
          <w:sz w:val="17"/>
          <w:szCs w:val="17"/>
          <w:color w:val="auto"/>
        </w:rPr>
        <w:t>” means Operating Expenses for the applicable year in excess of Operating Expenses for the Base Year.</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to the contrary contained in this Lease, Landlord shall have the right to pass through any new line item or category of costs or expenses arising during the Term which were not included in the Base Year (including subsidies) without reference to a base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2" w:name="page163"/>
    <w:bookmarkEnd w:id="162"/>
    <w:p>
      <w:pPr>
        <w:ind w:right="60" w:firstLine="509"/>
        <w:spacing w:after="0" w:line="238"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Operating Expenses</w:t>
      </w:r>
      <w:r>
        <w:rPr>
          <w:rFonts w:ascii="Arial" w:cs="Arial" w:eastAsia="Arial" w:hAnsi="Arial"/>
          <w:sz w:val="18"/>
          <w:szCs w:val="18"/>
          <w:color w:val="auto"/>
        </w:rPr>
        <w:t xml:space="preserve">” means all costs and expenses of any kind or description whatsoever incurred or accrued each calendar year by Landlord with respect to the Building (including the Building’s Share of all costs and expenses of any kind or description incurred or accrued by Landlord with respect to the Project which are not specific to the Building or any other building located in the Project) including, without duplication, (i) Taxes (as defined in </w:t>
      </w:r>
      <w:r>
        <w:rPr>
          <w:rFonts w:ascii="Arial" w:cs="Arial" w:eastAsia="Arial" w:hAnsi="Arial"/>
          <w:sz w:val="18"/>
          <w:szCs w:val="18"/>
          <w:u w:val="single" w:color="auto"/>
          <w:color w:val="auto"/>
        </w:rPr>
        <w:t>Section 9</w:t>
      </w:r>
      <w:r>
        <w:rPr>
          <w:rFonts w:ascii="Arial" w:cs="Arial" w:eastAsia="Arial" w:hAnsi="Arial"/>
          <w:sz w:val="18"/>
          <w:szCs w:val="18"/>
          <w:color w:val="auto"/>
        </w:rPr>
        <w:t>), (ii) the cost of upgrades to the Building or Project or enhanced services provided at the Building and/or Project which are intended to encourage social distancing, promote and protect health and physical well-being and/or intended to limit the spread of communicable diseases and/or viruses of any kind or nature (collectively, “</w:t>
      </w:r>
      <w:r>
        <w:rPr>
          <w:rFonts w:ascii="Arial" w:cs="Arial" w:eastAsia="Arial" w:hAnsi="Arial"/>
          <w:sz w:val="18"/>
          <w:szCs w:val="18"/>
          <w:b w:val="1"/>
          <w:bCs w:val="1"/>
          <w:color w:val="auto"/>
        </w:rPr>
        <w:t>Infectious</w:t>
      </w:r>
      <w:r>
        <w:rPr>
          <w:rFonts w:ascii="Arial" w:cs="Arial" w:eastAsia="Arial" w:hAnsi="Arial"/>
          <w:sz w:val="18"/>
          <w:szCs w:val="18"/>
          <w:color w:val="auto"/>
        </w:rPr>
        <w:t xml:space="preserve"> </w:t>
      </w:r>
      <w:r>
        <w:rPr>
          <w:rFonts w:ascii="Arial" w:cs="Arial" w:eastAsia="Arial" w:hAnsi="Arial"/>
          <w:sz w:val="18"/>
          <w:szCs w:val="18"/>
          <w:b w:val="1"/>
          <w:bCs w:val="1"/>
          <w:color w:val="auto"/>
        </w:rPr>
        <w:t>Conditions</w:t>
      </w:r>
      <w:r>
        <w:rPr>
          <w:rFonts w:ascii="Arial" w:cs="Arial" w:eastAsia="Arial" w:hAnsi="Arial"/>
          <w:sz w:val="18"/>
          <w:szCs w:val="18"/>
          <w:color w:val="auto"/>
        </w:rPr>
        <w:t>”),(iii) the cost (including, without limitation, any commercially reasonable subsidies which Landlord may provide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the Project Amenities) of the Project Amenities now or hereafter located at or outside the Project, (iv) capital repairs, improvements and replacements amortized over the lesser of 10 years and the useful life of such capital repairs, improvements and replacements, (v) costs related to any parking structure or parking areas serving the Project and costs for transportation services (including the cost of the Shuttle Services (as defined in </w:t>
      </w:r>
      <w:r>
        <w:rPr>
          <w:rFonts w:ascii="Arial" w:cs="Arial" w:eastAsia="Arial" w:hAnsi="Arial"/>
          <w:sz w:val="18"/>
          <w:szCs w:val="18"/>
          <w:u w:val="single" w:color="auto"/>
          <w:color w:val="auto"/>
        </w:rPr>
        <w:t>Section 40(r)</w:t>
      </w:r>
      <w:r>
        <w:rPr>
          <w:rFonts w:ascii="Arial" w:cs="Arial" w:eastAsia="Arial" w:hAnsi="Arial"/>
          <w:sz w:val="18"/>
          <w:szCs w:val="18"/>
          <w:color w:val="auto"/>
        </w:rPr>
        <w:t>) and (vi) the costs of Landlord’s third party property manager or, if there is no third party property manager, administration rent in the amount of 3% of Base Rent, excluding only:</w:t>
      </w:r>
    </w:p>
    <w:p>
      <w:pPr>
        <w:spacing w:after="0" w:line="20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a. the original construction costs of the Project and renovation prior to the date of this Lease and costs of correcting defects in such original construction or renovation;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 capital expenditures for expansion of the Project;</w:t>
      </w:r>
    </w:p>
    <w:p>
      <w:pPr>
        <w:spacing w:after="0" w:line="212"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 xml:space="preserve">c. interest, principal payments of Mortgage (as defined in </w:t>
      </w:r>
      <w:r>
        <w:rPr>
          <w:rFonts w:ascii="Arial" w:cs="Arial" w:eastAsia="Arial" w:hAnsi="Arial"/>
          <w:sz w:val="18"/>
          <w:szCs w:val="18"/>
          <w:u w:val="single" w:color="auto"/>
          <w:color w:val="auto"/>
        </w:rPr>
        <w:t>Section 27</w:t>
      </w:r>
      <w:r>
        <w:rPr>
          <w:rFonts w:ascii="Arial" w:cs="Arial" w:eastAsia="Arial" w:hAnsi="Arial"/>
          <w:sz w:val="18"/>
          <w:szCs w:val="18"/>
          <w:color w:val="auto"/>
        </w:rPr>
        <w:t>) debts of Landlord, financing costs and amortization of funds borrowed by Landlord, whether secured or unsecured and all payments of base rent (but not taxes or operating expenses) under any ground lease or other underlying lease of all or any portion of the Project.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 depreciation of the Project (except for capital improvements, the cost of which are includable in Operating Expenses);</w:t>
      </w:r>
    </w:p>
    <w:p>
      <w:pPr>
        <w:spacing w:after="0" w:line="21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e. advertising, legal and space planning expenses and leasing commissions and other costs and expenses incurred in procuring and leasing space to tenants for the Project, including any leasing office maintained in the Project, free rent and construction allowances for tenants;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 legal and other expenses incurred in the negotiation or enforcement of leases;</w:t>
      </w:r>
    </w:p>
    <w:p>
      <w:pPr>
        <w:spacing w:after="0" w:line="212"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g. completing, fixturing, improving, renovating, painting, redecorating or other work, which Landlord pays for or performs for other tenants within their premises, and costs of correcting defects in such work;</w:t>
      </w:r>
    </w:p>
    <w:p>
      <w:pPr>
        <w:spacing w:after="0" w:line="19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h. costs to be reimbursed by other tenants of the Project or Taxes to be paid directly by Tenant or other tenants of the Project, whether or not actually paid;</w:t>
      </w:r>
    </w:p>
    <w:p>
      <w:pPr>
        <w:spacing w:after="0" w:line="197"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i. salaries, wages, benefits and other compensation paid to officers and employees of Landlord who are not assigned in whole or in part to the operation, management, maintenance or repair of the Project;</w:t>
      </w:r>
    </w:p>
    <w:p>
      <w:pPr>
        <w:spacing w:after="0" w:line="19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j. general organizational, administrative and overhead costs relating to maintaining Landlord’s existence, either as a corporation, partnership, or other entity, including general corporate, legal and accounting expenses;</w:t>
      </w:r>
    </w:p>
    <w:p>
      <w:pPr>
        <w:spacing w:after="0" w:line="19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k. costs (including attorneys’ fees and costs of settlement, judgments and payments in lieu thereof) incurred in connection with disputes with tenants, other occupants, or prospective tenants, and costs and expenses, including legal fees, incurred in connection with negotiations or disputes with employees, consultants, management agents, leasing agents, purchasers or mortgagees of the Building;</w:t>
      </w:r>
    </w:p>
    <w:p>
      <w:pPr>
        <w:spacing w:after="0" w:line="20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 xml:space="preserve">l. costs incurred by Landlord due to the violation by Landlord, its employees, agents or contractors or any tenant of the terms and conditions of any lease of space in the Project or any Legal Requirement (as defined in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9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m. penalties, fines or interest incurred as a result of Landlord’s inability or failure to make payment of Taxes and/or to file any tax or informational returns when due, or from Landlord’s failure to make any payment of Taxes required to be made by Landlord hereunder before delinquency;</w:t>
      </w:r>
    </w:p>
    <w:p>
      <w:pPr>
        <w:spacing w:after="0" w:line="203"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n. overhead and profit increment paid to Landlord or to subsidiaries or affiliates of Landlord for goods and/or services in or to the Project to the extent the same exceeds the costs of such goods and/or services rendered by unaffiliated third parties on a competitive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5" w:right="39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color w:val="auto"/>
        </w:rPr>
        <w:t>o. costs of Landlord’s charitable or political contributions, or of fine art maintained at the Project;</w:t>
      </w:r>
    </w:p>
    <w:p>
      <w:pPr>
        <w:spacing w:after="0" w:line="212"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p. costs in connection with services (including electricity), items or other benefits of a type which are not standard for the Project and which are not available to Tenant without specific charges therefor, but which are provided to another tenant or occupant of the Project, whether or not such other tenant or occupant is specifically charged therefor by Landlord;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q. costs incurred in the sale or refinancing of the Project;</w:t>
      </w:r>
    </w:p>
    <w:p>
      <w:pPr>
        <w:spacing w:after="0" w:line="212"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r. net income taxes of Landlord or the owner of any interest in the Project, franchise, capital stock, gift, estate or inheritance taxes or any federal, state or local documentary taxes imposed against the Project or any portion thereof or interest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costs incurred as a result of the gross negligence or willful misconduct of Landlord or its agents and employees;</w:t>
      </w:r>
    </w:p>
    <w:p>
      <w:pPr>
        <w:spacing w:after="0" w:line="212"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 xml:space="preserve">t. any expenses otherwise includable within Operating Expenses to the extent actually reimbursed under insurance policies required to be maintained by Landlord in accordance with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or would have been reimbursed by insurance required to be carried by Landlord pursuant to </w:t>
      </w:r>
      <w:r>
        <w:rPr>
          <w:rFonts w:ascii="Arial" w:cs="Arial" w:eastAsia="Arial" w:hAnsi="Arial"/>
          <w:sz w:val="18"/>
          <w:szCs w:val="18"/>
          <w:u w:val="single" w:color="auto"/>
          <w:color w:val="auto"/>
        </w:rPr>
        <w:t>Section 17</w:t>
      </w:r>
      <w:r>
        <w:rPr>
          <w:rFonts w:ascii="Arial" w:cs="Arial" w:eastAsia="Arial" w:hAnsi="Arial"/>
          <w:sz w:val="18"/>
          <w:szCs w:val="18"/>
          <w:color w:val="auto"/>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-264795</wp:posOffset>
            </wp:positionV>
            <wp:extent cx="4088765" cy="1289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7">
                      <a:extLst>
                        <a:ext uri="{28A0092B-C50C-407E-A947-70E740481C1C}"/>
                      </a:extLst>
                    </a:blip>
                    <a:srcRect/>
                    <a:stretch>
                      <a:fillRect/>
                    </a:stretch>
                  </pic:blipFill>
                  <pic:spPr bwMode="auto">
                    <a:xfrm>
                      <a:off x="0" y="0"/>
                      <a:ext cx="4088765" cy="12890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u. costs reimbursable to Landlord under any warranty or guarantee carried by Landlord for the Building or Project or any portion thereof;</w:t>
      </w:r>
    </w:p>
    <w:p>
      <w:pPr>
        <w:spacing w:after="0" w:line="212" w:lineRule="exact"/>
        <w:rPr>
          <w:sz w:val="20"/>
          <w:szCs w:val="20"/>
          <w:color w:val="auto"/>
        </w:rPr>
      </w:pPr>
    </w:p>
    <w:p>
      <w:pPr>
        <w:ind w:right="580"/>
        <w:spacing w:after="0"/>
        <w:rPr>
          <w:sz w:val="20"/>
          <w:szCs w:val="20"/>
          <w:color w:val="auto"/>
        </w:rPr>
      </w:pPr>
      <w:r>
        <w:rPr>
          <w:rFonts w:ascii="Arial" w:cs="Arial" w:eastAsia="Arial" w:hAnsi="Arial"/>
          <w:sz w:val="18"/>
          <w:szCs w:val="18"/>
          <w:color w:val="auto"/>
        </w:rPr>
        <w:t>v. any costs incurred to remove, test or remediate or otherwise related to the presence of Hazardous Materials (including the removal, enclosure, encapsulation and handling of such Hazardous Materials) in or about the Building or the Project, for which Tenant is not responsible under this Lease;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 reserves other than for the payment of Taxes;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x. any bad debt loss, rent loss or reserve for bad debt loss; and</w:t>
      </w:r>
    </w:p>
    <w:p>
      <w:pPr>
        <w:spacing w:after="0" w:line="212"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y. any expenses otherwise includable within Operating Expenses to the extent actually reimbursed by persons other than tenants of the Project under leases for space in the Project.</w:t>
      </w:r>
    </w:p>
    <w:p>
      <w:pPr>
        <w:spacing w:after="0" w:line="197"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addition, notwithstanding anything to the contrary contained in this Lease, Operating Expenses incurred or accrued by Landlord with respect to any capital improvements which are reasonably expected by Landlord to reduce overall Operating Expenses (for example, without limitation, by reducing energy usage at the Project) (the “</w:t>
      </w:r>
      <w:r>
        <w:rPr>
          <w:rFonts w:ascii="Arial" w:cs="Arial" w:eastAsia="Arial" w:hAnsi="Arial"/>
          <w:sz w:val="18"/>
          <w:szCs w:val="18"/>
          <w:b w:val="1"/>
          <w:bCs w:val="1"/>
          <w:color w:val="auto"/>
        </w:rPr>
        <w:t>Energy Savings Costs</w:t>
      </w:r>
      <w:r>
        <w:rPr>
          <w:rFonts w:ascii="Arial" w:cs="Arial" w:eastAsia="Arial" w:hAnsi="Arial"/>
          <w:sz w:val="18"/>
          <w:szCs w:val="18"/>
          <w:color w:val="auto"/>
        </w:rPr>
        <w:t>”) shall be amortized over a period of years equal to the least of (A) 10 years, (B) the useful life of such capital items, or (C) the quotient of (i) the Energy Savings Costs, divided by (ii) the annual amount of Operating Expenses reasonably expected by Landlord to be saved as a result of such capital improvements.</w:t>
      </w:r>
    </w:p>
    <w:p>
      <w:pPr>
        <w:spacing w:after="0" w:line="202"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Within 90 days after the end of each calendar year (or such longer period as may be reasonably required), Landlord shall furnish to Tenant a statement (an “</w:t>
      </w:r>
      <w:r>
        <w:rPr>
          <w:rFonts w:ascii="Arial" w:cs="Arial" w:eastAsia="Arial" w:hAnsi="Arial"/>
          <w:sz w:val="18"/>
          <w:szCs w:val="18"/>
          <w:b w:val="1"/>
          <w:bCs w:val="1"/>
          <w:color w:val="auto"/>
        </w:rPr>
        <w:t>Annual Statement</w:t>
      </w:r>
      <w:r>
        <w:rPr>
          <w:rFonts w:ascii="Arial" w:cs="Arial" w:eastAsia="Arial" w:hAnsi="Arial"/>
          <w:sz w:val="18"/>
          <w:szCs w:val="18"/>
          <w:color w:val="auto"/>
        </w:rPr>
        <w:t>”) showing in reasonable detail: (a) the total of and Tenant’s Share of actual Excess Operating Expenses for the previous calendar year, and (b) the total of Tenant’s payments in respect of Excess Operating Expenses for such year. If Tenant’s Share of actual Excess Operating Expenses for such year exceeds Tenant’s payments of Excess Operating Expenses for such year, the excess shall be due and payable by Tenant as Rent within 30 days after delivery of such Annual Statement to Tenant. If Tenant’s payments of Excess Operating Expenses for such year exceed Tenant’s Share of actual Excess Operating Expenses for such year Landlord shall pay the excess to Tenant within 30 days after delivery of such Annual Statement, except that after the expiration, or earlier termination of the Term or if Tenant is delinquent in its obligation to pay Rent, Landlord shall pay the excess to Tenant after deducting all other amounts due Landlord. Landlord’s and Tenant’s obligations to pay any overpayments or deficiencies due pursuant to this paragraph shall survive the expiration or earlier termination of this Lease.</w:t>
      </w:r>
    </w:p>
    <w:p>
      <w:pPr>
        <w:spacing w:after="0" w:line="206"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Annual Statement shall be final and binding upon Tenant unless Tenant, within 30 days after Tenant’s receipt thereof, shall contest any item therein by giving written notice to Landlord, specifying each item contested and the reason therefor. If, during such 30 day period, Tenant reasonably and in good faith questions or contests the accuracy of Landlord’s statement of Tenant’s Share of Excess Operating Expenses, Landlord will provide Tenant with access to Landlord’s books and records relating to the operation of the Project and such information as Landlord reasonably determines to be responsive to Tenant’s questions (the “</w:t>
      </w:r>
      <w:r>
        <w:rPr>
          <w:rFonts w:ascii="Arial" w:cs="Arial" w:eastAsia="Arial" w:hAnsi="Arial"/>
          <w:sz w:val="18"/>
          <w:szCs w:val="18"/>
          <w:b w:val="1"/>
          <w:bCs w:val="1"/>
          <w:color w:val="auto"/>
        </w:rPr>
        <w:t>Expense Information</w:t>
      </w:r>
      <w:r>
        <w:rPr>
          <w:rFonts w:ascii="Arial" w:cs="Arial" w:eastAsia="Arial" w:hAnsi="Arial"/>
          <w:sz w:val="18"/>
          <w:szCs w:val="18"/>
          <w:color w:val="auto"/>
        </w:rPr>
        <w:t>”). If after Tenant’s review of such Expense Information, Landlord and Tenant cannot agree upon the amount of Tenant’s Share of Excess Operating Expenses, then Tenant shall have the right to have an independent regionally or nationally recognized public accounting firm selected by Tenant and approved by Landlord (which approval shall not be unreasonably withheld 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64" w:name="page165"/>
    <w:bookmarkEnd w:id="164"/>
    <w:p>
      <w:pPr>
        <w:ind w:right="40"/>
        <w:spacing w:after="0" w:line="235" w:lineRule="auto"/>
        <w:rPr>
          <w:sz w:val="20"/>
          <w:szCs w:val="20"/>
          <w:color w:val="auto"/>
        </w:rPr>
      </w:pPr>
      <w:r>
        <w:rPr>
          <w:rFonts w:ascii="Arial" w:cs="Arial" w:eastAsia="Arial" w:hAnsi="Arial"/>
          <w:sz w:val="18"/>
          <w:szCs w:val="18"/>
          <w:color w:val="auto"/>
        </w:rPr>
        <w:t>working pursuant to a fee arrangement other than a contingent fee (at Tenant’s sole cost and expense), audit and/or review the Expense Information for the year in question (the “</w:t>
      </w:r>
      <w:r>
        <w:rPr>
          <w:rFonts w:ascii="Arial" w:cs="Arial" w:eastAsia="Arial" w:hAnsi="Arial"/>
          <w:sz w:val="18"/>
          <w:szCs w:val="18"/>
          <w:b w:val="1"/>
          <w:bCs w:val="1"/>
          <w:color w:val="auto"/>
        </w:rPr>
        <w:t>Independent Review</w:t>
      </w:r>
      <w:r>
        <w:rPr>
          <w:rFonts w:ascii="Arial" w:cs="Arial" w:eastAsia="Arial" w:hAnsi="Arial"/>
          <w:sz w:val="18"/>
          <w:szCs w:val="18"/>
          <w:color w:val="auto"/>
        </w:rPr>
        <w:t>”). The results of any such Independent Review shall be binding on Landlord and Tenant. If the Independent Review shows that the payments actually made by Tenant with respect to Excess Operating Expenses for the calendar year in question exceeded Tenant’s Share of Excess Operating Expenses for such calendar year, Landlord shall at Landlord’s option either (i) credit the excess amount to the next succeeding installments of estimated Excess Operating Expenses or (ii) pay the excess to Tenant within 30 days after delivery of such statement, except that after the expiration or earlier termination of this Lease or if Tenant is delinquent in its obligation to pay Rent, Landlord shall pay the excess to Tenant after deducting all other amounts due Landlord. If the Independent Review shows that Tenant’s payments with respect to Excess Operating Expenses for such calendar year were less than Tenant’s Share of Excess Operating Expenses for the calendar year, Tenant shall pay the deficiency to Landlord within 30 days after delivery of such statement. If the Independent Review shows that Tenant has overpaid with respect to Excess Operating Expenses by more than 5% then Landlord shall reimburse Tenant for all costs incurred by Tenant for the Independent Review. Excess Operating Expenses for the calendar years in which Tenant’s obligation to share therein begins and ends shall be prorated. Notwithstanding anything set forth herein to the contrary, if the Building is not at least 95% occupied on average during any year of the Term, Tenant’s Share of Excess Operating Expenses for such year shall be computed as though the Building had been 95% occupied on average during such year.</w:t>
      </w:r>
    </w:p>
    <w:p>
      <w:pPr>
        <w:spacing w:after="0" w:line="19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color w:val="auto"/>
        </w:rPr>
        <w:t>Tenant’s Share</w:t>
      </w:r>
      <w:r>
        <w:rPr>
          <w:rFonts w:ascii="Arial" w:cs="Arial" w:eastAsia="Arial" w:hAnsi="Arial"/>
          <w:sz w:val="18"/>
          <w:szCs w:val="18"/>
          <w:color w:val="auto"/>
        </w:rPr>
        <w:t>” shall be the percentage set forth on the first page of this Lease as Tenant’s Share as reasonably adjusted by</w:t>
      </w:r>
      <w:r>
        <w:rPr>
          <w:rFonts w:ascii="Arial" w:cs="Arial" w:eastAsia="Arial" w:hAnsi="Arial"/>
          <w:sz w:val="18"/>
          <w:szCs w:val="18"/>
          <w:i w:val="1"/>
          <w:iCs w:val="1"/>
          <w:color w:val="auto"/>
        </w:rPr>
        <w:t xml:space="preserve"> </w:t>
      </w:r>
      <w:r>
        <w:rPr>
          <w:rFonts w:ascii="Arial" w:cs="Arial" w:eastAsia="Arial" w:hAnsi="Arial"/>
          <w:sz w:val="18"/>
          <w:szCs w:val="18"/>
          <w:color w:val="auto"/>
        </w:rPr>
        <w:t>Landlord for changes in the physical size of the Premises or the Project occurring thereafter. Landlord may equitably increase Tenant’s Share for any item of expense or cost reimbursable by Tenant that relates to a repair, replacement, or service that benefits only the Premises or only a portion of the Project that includes the Premises or that varies with occupancy or use. Base Rent, Tenant’s Share of Excess Operating Expenses and all other amounts payable by Tenant to Landlord hereunder are collectively referred to herein as “</w:t>
      </w: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176" w:lineRule="exact"/>
        <w:rPr>
          <w:sz w:val="20"/>
          <w:szCs w:val="20"/>
          <w:color w:val="auto"/>
        </w:rPr>
      </w:pPr>
    </w:p>
    <w:p>
      <w:pPr>
        <w:ind w:right="40" w:firstLine="8"/>
        <w:spacing w:after="0" w:line="236" w:lineRule="auto"/>
        <w:tabs>
          <w:tab w:leader="none" w:pos="20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Security Deposit</w:t>
      </w:r>
      <w:r>
        <w:rPr>
          <w:rFonts w:ascii="Arial" w:cs="Arial" w:eastAsia="Arial" w:hAnsi="Arial"/>
          <w:sz w:val="18"/>
          <w:szCs w:val="18"/>
          <w:color w:val="auto"/>
        </w:rPr>
        <w:t>. Tenant shall deposit with Landlord, upon delivery of an executed copy of this Lease to Landlord, a security deposit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Security Deposit</w:t>
      </w:r>
      <w:r>
        <w:rPr>
          <w:rFonts w:ascii="Arial" w:cs="Arial" w:eastAsia="Arial" w:hAnsi="Arial"/>
          <w:sz w:val="18"/>
          <w:szCs w:val="18"/>
          <w:color w:val="auto"/>
        </w:rPr>
        <w:t>”) for the performance of all of Tenant’s obligations hereunder in the amount set forth on page 1 of this Lease, which Security Deposit shall be in the form of an unconditional and irrevocable letter of credit (the “</w:t>
      </w:r>
      <w:r>
        <w:rPr>
          <w:rFonts w:ascii="Arial" w:cs="Arial" w:eastAsia="Arial" w:hAnsi="Arial"/>
          <w:sz w:val="18"/>
          <w:szCs w:val="18"/>
          <w:b w:val="1"/>
          <w:bCs w:val="1"/>
          <w:color w:val="auto"/>
        </w:rPr>
        <w:t>Letter of Credit</w:t>
      </w:r>
      <w:r>
        <w:rPr>
          <w:rFonts w:ascii="Arial" w:cs="Arial" w:eastAsia="Arial" w:hAnsi="Arial"/>
          <w:sz w:val="18"/>
          <w:szCs w:val="18"/>
          <w:color w:val="auto"/>
        </w:rPr>
        <w:t xml:space="preserve">”): (i) in form and substance satisfactory to Landlord, (ii) naming Landlord as beneficiary, (iii) expressly allowing Landlord to draw upon it at any time from time to time by delivering to the issuer notice that Landlord is entitled to draw thereunder, (iv) issued by an FDIC-insured financial institution satisfactory to Landlord, and (v) redeemable by presentation of a sight draft in the state of Landlord’s choice. If Tenant does not provide Landlord with a substitute Letter of Credit complying with all of the requirements hereof at least 10 days before the stated expiration date of any then current Letter of Credit, Landlord shall have the right to draw the full amount of the current Letter of Credit and hold the funds drawn in cash without obligation for interest thereon as the Security Deposit. The Security Deposit shall be held by Landlord as security for the performance of Tenant’s obligations under this Lease. The Security Deposit is not an advance rental deposit or a measure of Landlord’s damages in case of Tenant’s default. Upon each occurrence of a Default (as defined in </w:t>
      </w:r>
      <w:r>
        <w:rPr>
          <w:rFonts w:ascii="Arial" w:cs="Arial" w:eastAsia="Arial" w:hAnsi="Arial"/>
          <w:sz w:val="18"/>
          <w:szCs w:val="18"/>
          <w:u w:val="single" w:color="auto"/>
          <w:color w:val="auto"/>
        </w:rPr>
        <w:t>Section 20</w:t>
      </w:r>
      <w:r>
        <w:rPr>
          <w:rFonts w:ascii="Arial" w:cs="Arial" w:eastAsia="Arial" w:hAnsi="Arial"/>
          <w:sz w:val="18"/>
          <w:szCs w:val="18"/>
          <w:color w:val="auto"/>
        </w:rPr>
        <w:t xml:space="preserve">), Landlord may use all or any part of the Security Deposit to pay delinquent payments due under this Lease, future rent damages under California Civil Code Section 1951.2, and the cost of any damage, injury, expense or liability caused by such Default, without prejudice to any other remedy provided herein or provided by law. Landlord’s right to use the Security Deposit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includes the right to use the Security Deposit to pay future rent damages following the termination of this Lease pursuant to </w:t>
      </w:r>
      <w:r>
        <w:rPr>
          <w:rFonts w:ascii="Arial" w:cs="Arial" w:eastAsia="Arial" w:hAnsi="Arial"/>
          <w:sz w:val="18"/>
          <w:szCs w:val="18"/>
          <w:u w:val="single" w:color="auto"/>
          <w:color w:val="auto"/>
        </w:rPr>
        <w:t>Section 21(c)</w:t>
      </w:r>
      <w:r>
        <w:rPr>
          <w:rFonts w:ascii="Arial" w:cs="Arial" w:eastAsia="Arial" w:hAnsi="Arial"/>
          <w:sz w:val="18"/>
          <w:szCs w:val="18"/>
          <w:color w:val="auto"/>
        </w:rPr>
        <w:t>below. Upon any use of all or any portion of the Security Deposit, Tenant shall pay Landlord on demand the amount that will restore the Security Deposit to the amount set forth on Page 1 of this Lease. Tenant hereby waives the provisions of any law, now or hereafter in force, including, without limitation, California Civil Code Section 1950.7, which provide that Landlord may claim from a security deposit only those sums reasonably necessary to remedy defaults in the payment of Rent, to repair damage caused by Tenant or to clean the Premises, it being agreed that Landlord may, in addition, claim those sums reasonably necessary to compensate Landlord for any other loss or damage, foreseeable or unforeseeable, caused by the act or omission of Tenant or any officer, employee, agent or invitee of Tenant. Upon bankruptcy or other debtor-creditor proceedings against Tenant, the Security Deposit shall be deemed to be applied first to the payment of Rent and other charges due Landlord for periods prior to the filing of such proceedings. If Tenant shall fully perform every provision of this Lease to be performed by Tenant, the Security Deposit, or any balance thereof (i.e., after deducting therefrom all amounts to which Landlord is entitled under the provisions of this Lease), shall be returned to Tenant (or, at Landlord’s option, to the last assignee of Tenant’s interest hereunder) within 90 days after the expiration or earlier termination of this Lease.</w:t>
      </w:r>
    </w:p>
    <w:p>
      <w:pPr>
        <w:spacing w:after="0" w:line="212"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 xml:space="preserve">If Landlord transfers its interest in the Project or this Lease, Landlord shall either (a) transfer any Security Deposit then held by Landlord to a person or entity assuming Landlord’s obligations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or (b) return to Tenant any Security Deposit then held by Landlord and remaining after the deductions permitted herein. Upon such transfer to such transferee or the return of the Security Deposit to Tenant, Landlord shall have no further obligation with respect to the Security Deposit, and Tenant’s right to the return of the Security Deposit shall apply solely against Landlord’s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t>transferee. Landlord’s obligation respecting the Security Deposit is that of a debtor, not a trustee, and no interest shall accrue thereon.</w:t>
      </w:r>
    </w:p>
    <w:p>
      <w:pPr>
        <w:spacing w:after="0" w:line="190" w:lineRule="exact"/>
        <w:rPr>
          <w:sz w:val="20"/>
          <w:szCs w:val="20"/>
          <w:color w:val="auto"/>
        </w:rPr>
      </w:pPr>
    </w:p>
    <w:p>
      <w:pPr>
        <w:ind w:right="60" w:firstLine="8"/>
        <w:spacing w:after="0" w:line="257" w:lineRule="auto"/>
        <w:tabs>
          <w:tab w:leader="none" w:pos="200"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Use</w:t>
      </w:r>
      <w:r>
        <w:rPr>
          <w:rFonts w:ascii="Arial" w:cs="Arial" w:eastAsia="Arial" w:hAnsi="Arial"/>
          <w:sz w:val="17"/>
          <w:szCs w:val="17"/>
          <w:color w:val="auto"/>
        </w:rPr>
        <w:t>. The Premises shall be used solely for the Permitted Use set forth in the basic lease provisions on page 1 of this Lease, and in</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with all laws, orders, judgments, ordinances, regulations, codes, directives, permits, licenses, covenants and restrictions now or hereafter applicable to the Premises, and to the use and occupancy thereof, including, without limitation, the Americans With Disabilities Act,</w:t>
      </w:r>
    </w:p>
    <w:p>
      <w:pPr>
        <w:spacing w:after="0" w:line="1" w:lineRule="exact"/>
        <w:rPr>
          <w:rFonts w:ascii="Arial" w:cs="Arial" w:eastAsia="Arial" w:hAnsi="Arial"/>
          <w:sz w:val="17"/>
          <w:szCs w:val="17"/>
          <w:color w:val="auto"/>
        </w:rPr>
      </w:pPr>
    </w:p>
    <w:p>
      <w:pPr>
        <w:ind w:right="20" w:firstLine="8"/>
        <w:spacing w:after="0" w:line="235" w:lineRule="auto"/>
        <w:tabs>
          <w:tab w:leader="none" w:pos="25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U.S.C. § 12101, et seq. (together with the regulations promulgated pursuant thereto, “</w:t>
      </w:r>
      <w:r>
        <w:rPr>
          <w:rFonts w:ascii="Arial" w:cs="Arial" w:eastAsia="Arial" w:hAnsi="Arial"/>
          <w:sz w:val="18"/>
          <w:szCs w:val="18"/>
          <w:b w:val="1"/>
          <w:bCs w:val="1"/>
          <w:color w:val="auto"/>
        </w:rPr>
        <w:t>ADA</w:t>
      </w:r>
      <w:r>
        <w:rPr>
          <w:rFonts w:ascii="Arial" w:cs="Arial" w:eastAsia="Arial" w:hAnsi="Arial"/>
          <w:sz w:val="18"/>
          <w:szCs w:val="18"/>
          <w:color w:val="auto"/>
        </w:rPr>
        <w:t>”) (collectively, “</w:t>
      </w:r>
      <w:r>
        <w:rPr>
          <w:rFonts w:ascii="Arial" w:cs="Arial" w:eastAsia="Arial" w:hAnsi="Arial"/>
          <w:sz w:val="18"/>
          <w:szCs w:val="18"/>
          <w:b w:val="1"/>
          <w:bCs w:val="1"/>
          <w:color w:val="auto"/>
        </w:rPr>
        <w:t>Legal Requirements</w:t>
      </w:r>
      <w:r>
        <w:rPr>
          <w:rFonts w:ascii="Arial" w:cs="Arial" w:eastAsia="Arial" w:hAnsi="Arial"/>
          <w:sz w:val="18"/>
          <w:szCs w:val="18"/>
          <w:color w:val="auto"/>
        </w:rPr>
        <w:t>” and each, a “</w:t>
      </w:r>
      <w:r>
        <w:rPr>
          <w:rFonts w:ascii="Arial" w:cs="Arial" w:eastAsia="Arial" w:hAnsi="Arial"/>
          <w:sz w:val="18"/>
          <w:szCs w:val="18"/>
          <w:b w:val="1"/>
          <w:bCs w:val="1"/>
          <w:color w:val="auto"/>
        </w:rPr>
        <w:t>Legal Requirement</w:t>
      </w:r>
      <w:r>
        <w:rPr>
          <w:rFonts w:ascii="Arial" w:cs="Arial" w:eastAsia="Arial" w:hAnsi="Arial"/>
          <w:sz w:val="18"/>
          <w:szCs w:val="18"/>
          <w:color w:val="auto"/>
        </w:rPr>
        <w:t xml:space="preserve">”). Tenant shall, upon 5 days’ written notice from Landlord, discontinue any use of the Premises which is declared by any Governmental Authority (as defined in </w:t>
      </w:r>
      <w:r>
        <w:rPr>
          <w:rFonts w:ascii="Arial" w:cs="Arial" w:eastAsia="Arial" w:hAnsi="Arial"/>
          <w:sz w:val="18"/>
          <w:szCs w:val="18"/>
          <w:u w:val="single" w:color="auto"/>
          <w:color w:val="auto"/>
        </w:rPr>
        <w:t>Section 9</w:t>
      </w:r>
      <w:r>
        <w:rPr>
          <w:rFonts w:ascii="Arial" w:cs="Arial" w:eastAsia="Arial" w:hAnsi="Arial"/>
          <w:sz w:val="18"/>
          <w:szCs w:val="18"/>
          <w:color w:val="auto"/>
        </w:rPr>
        <w:t>) having jurisdiction to be a violation of a Legal Requirement. Tenant will not use or permit the Premises to be used for any purpose or in any manner that would void Tenant’s or Landlord’s insurance, increase the insurance risk, or cause the disallowance of any sprinkler or other credits. Tenant shall not permit any part of the Premises to be used as a “place of public accommodation”, as defined in the ADA or any similar legal requirement. Tenant shall reimburse Landlord promptly upon demand for any additional premium charged for any such insurance policy by reason of Tenant’s failure to comply with the provisions of this Section or otherwise caused by Tenant’s use and/or occupancy of the Premises. Tenant will use the Premises in a careful, safe and proper manner and will not commit or permit waste, overload the floor or structure of the Premises, subject the Premises to use that would damage the Premises or obstruct or interfere with the rights of Landlord or other tenants or occupants of the Project, including conducting or giving notice of any auction, liquidation, or going out of business sale on the Premises, or using or allowing the Premises to be used for any unlawful purpose. Tenant shall cause any equipment or machinery to be installed in the Premises so as to reasonably prevent sounds or vibrations from the Premises from extending into Common Areas, or other space in the Project. Tenant shall not place any machinery or equipment which will overload the floor in or upon the Premises or transport or move such items through the Common Areas of the Project or in the Project elevators without the prior written consent of Landlord. Except as may be provided under the Work Letter, Tenant shall not, without the prior written consent of Landlord, use the Premises in any manner which will require ventilation, air exchange, heating, gas, steam, electricity or water beyond the existing capacity of the Project as proportionately allocated to the Premises based upon Tenant’s Share as usually furnished for the Permitted Use.</w:t>
      </w:r>
    </w:p>
    <w:p>
      <w:pPr>
        <w:spacing w:after="0" w:line="213"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Tenant shall be responsible for any and all demands, claims, liabilities, losses, costs, expenses, actions, causes of action, damages or judgments, and all reasonable expenses incurred in investigating or resisting the same (including, without limitation, reasonable attorneys’ fees, charges and disbursements and costs of suit) (collectively, “</w:t>
      </w:r>
      <w:r>
        <w:rPr>
          <w:rFonts w:ascii="Arial" w:cs="Arial" w:eastAsia="Arial" w:hAnsi="Arial"/>
          <w:sz w:val="18"/>
          <w:szCs w:val="18"/>
          <w:b w:val="1"/>
          <w:bCs w:val="1"/>
          <w:color w:val="auto"/>
        </w:rPr>
        <w:t>Claims</w:t>
      </w:r>
      <w:r>
        <w:rPr>
          <w:rFonts w:ascii="Arial" w:cs="Arial" w:eastAsia="Arial" w:hAnsi="Arial"/>
          <w:sz w:val="18"/>
          <w:szCs w:val="18"/>
          <w:color w:val="auto"/>
        </w:rPr>
        <w:t>”) arising out of or in connection with Legal Requirements related to Tenant’s use or occupancy of the Premises or Tenant’s Alterations, and Tenant shall indemnify, defend, hold and save Landlord harmless from and against any and all Claims arising out of or in connection with any failure of the Premises to comply with any Legal Requirement related to Tenant’s use or occupancy of the Premises or Tenant’s Alterations.</w:t>
      </w:r>
    </w:p>
    <w:p>
      <w:pPr>
        <w:spacing w:after="0" w:line="205"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Tenant acknowledges that Landlord may, but shall not be obligated to, seek to obtain Leadership in Energy and Environmental Design (LEED), WELL Building Standard, or other similar “green” certification with respect to the Project and/or the Premises, and Tenant agrees to reasonably cooperate with Landlord, and to provide such information and/or documentation as Landlord may reasonably request, in connection therewith.</w:t>
      </w:r>
    </w:p>
    <w:p>
      <w:pPr>
        <w:spacing w:after="0" w:line="183" w:lineRule="exact"/>
        <w:rPr>
          <w:sz w:val="20"/>
          <w:szCs w:val="20"/>
          <w:color w:val="auto"/>
        </w:rPr>
      </w:pPr>
    </w:p>
    <w:p>
      <w:pPr>
        <w:ind w:firstLine="8"/>
        <w:spacing w:after="0" w:line="238" w:lineRule="auto"/>
        <w:tabs>
          <w:tab w:leader="none" w:pos="20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Holding Over</w:t>
      </w:r>
      <w:r>
        <w:rPr>
          <w:rFonts w:ascii="Arial" w:cs="Arial" w:eastAsia="Arial" w:hAnsi="Arial"/>
          <w:sz w:val="18"/>
          <w:szCs w:val="18"/>
          <w:color w:val="auto"/>
        </w:rPr>
        <w:t>. If, with Landlord’s express written consent, Tenant retains possession of the Premises after the termination of the Term, (i)</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unless otherwise agreed in such written consent, such possession shall be subject to immediate termination by Landlord at any time, (ii) all of the other terms and provisions of this Lease (including, without limitation, the adjustment of Base Rent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shall remain in full force and effect (excluding any expansion or renewal option or other similar right or option) during such holdover period, (iii) Tenant shall continue to pay Base Rent in the amount payable upon the date of the expiration or earlier termination of this Lease, or such other amount as the parties may mutually agree upon in such written consent and (iv) all other payments shall continue under the terms of this Lease. If Tenant remains in possession of the Premises after the expiration or earlier termination of the Term without the express written consent of Landlord, (A) Tenant shall become a tenant at sufferance upon the terms of this Lease except that the monthly rental shall be equal to 150% of Rent in effect during the last 30 days of the Term, and (B) Tenant shall be responsible for all damages suffered by Landlord resulting from or occasioned by Tenant’s holding over, including consequential damages. No holding over by Tenant, whether with or without consent of Landlord, shall operate to extend this Lease except as otherwise expressly provided, and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not be construed as consent for Tenant to retain possession of the Premises. Acceptance by Landlord of Rent after the expiration of the Term or earlier termination of this Lease shall not result in a renewal or reinstatement of this Lease.</w:t>
      </w:r>
    </w:p>
    <w:p>
      <w:pPr>
        <w:spacing w:after="0" w:line="180" w:lineRule="exact"/>
        <w:rPr>
          <w:rFonts w:ascii="Arial" w:cs="Arial" w:eastAsia="Arial" w:hAnsi="Arial"/>
          <w:sz w:val="18"/>
          <w:szCs w:val="18"/>
          <w:color w:val="auto"/>
        </w:rPr>
      </w:pPr>
    </w:p>
    <w:p>
      <w:pPr>
        <w:jc w:val="both"/>
        <w:ind w:right="280" w:firstLine="8"/>
        <w:spacing w:after="0" w:line="253" w:lineRule="auto"/>
        <w:tabs>
          <w:tab w:leader="none" w:pos="20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Landlord shall pay, as part of Operating Expenses, all taxes, levies, fees, assessments and governmental charges of any kind,</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as of the Commencement Date or thereafter enacted (collectively referred to as “</w:t>
      </w:r>
      <w:r>
        <w:rPr>
          <w:rFonts w:ascii="Arial" w:cs="Arial" w:eastAsia="Arial" w:hAnsi="Arial"/>
          <w:sz w:val="18"/>
          <w:szCs w:val="18"/>
          <w:b w:val="1"/>
          <w:bCs w:val="1"/>
          <w:color w:val="auto"/>
        </w:rPr>
        <w:t>Taxes</w:t>
      </w:r>
      <w:r>
        <w:rPr>
          <w:rFonts w:ascii="Arial" w:cs="Arial" w:eastAsia="Arial" w:hAnsi="Arial"/>
          <w:sz w:val="18"/>
          <w:szCs w:val="18"/>
          <w:color w:val="auto"/>
        </w:rPr>
        <w:t>”), imposed by any federal, state, regional, municipal, local or other governmental authority or agency, including,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66" w:name="page167"/>
    <w:bookmarkEnd w:id="166"/>
    <w:p>
      <w:pPr>
        <w:spacing w:after="0" w:line="237" w:lineRule="auto"/>
        <w:rPr>
          <w:sz w:val="20"/>
          <w:szCs w:val="20"/>
          <w:color w:val="auto"/>
        </w:rPr>
      </w:pPr>
      <w:r>
        <w:rPr>
          <w:rFonts w:ascii="Arial" w:cs="Arial" w:eastAsia="Arial" w:hAnsi="Arial"/>
          <w:sz w:val="18"/>
          <w:szCs w:val="18"/>
          <w:color w:val="auto"/>
        </w:rPr>
        <w:t>limitation, quasi-public agencies (collectively, “</w:t>
      </w:r>
      <w:r>
        <w:rPr>
          <w:rFonts w:ascii="Arial" w:cs="Arial" w:eastAsia="Arial" w:hAnsi="Arial"/>
          <w:sz w:val="18"/>
          <w:szCs w:val="18"/>
          <w:b w:val="1"/>
          <w:bCs w:val="1"/>
          <w:color w:val="auto"/>
        </w:rPr>
        <w:t>Governmental Authority</w:t>
      </w:r>
      <w:r>
        <w:rPr>
          <w:rFonts w:ascii="Arial" w:cs="Arial" w:eastAsia="Arial" w:hAnsi="Arial"/>
          <w:sz w:val="18"/>
          <w:szCs w:val="18"/>
          <w:color w:val="auto"/>
        </w:rPr>
        <w:t>”) during the Term, including, without limitation, all Taxes: (i) imposed on or measured by or based, in whole or in part, on rent payable to (or gross receipts received by) Landlord under this Lease and/or from the rental by Landlord of the Project or any portion thereof, or (ii) based on the square footage, assessed value or other measure or evaluation of any kind of the Premises or the Project, or (iii) assessed or imposed by or on the operation or maintenance of any portion of the Premises or the Project, including parking, or (iv) assessed or imposed by, or at the direction of, or resulting from Legal Requirements, or interpretations thereof, promulgated by any Governmental Authority, or (v) imposed as a license or other fee, charge, tax, or assessment on Landlord’s business or occupation of leasing space in the Project. Landlord may contest by appropriate legal proceedings the amount, validity, or application of any Taxes or liens securing Taxes. Taxes shall not include any net income taxes imposed on Landlord except to the extent such net income taxes are in substitution for any Taxes payable hereunder. If any such Tax is levied or assessed directly against Tenant, then Tenant shall be responsible for and shall pay the same at such times and in such manner as the taxing authority shall require. Tenant shall pay, prior to delinquency, any and all Taxes levied or assessed against any personal property or trade fixtures placed by Tenant in the Premises, whether levied or assessed against Landlord or Tenant. If any Taxes on Tenant’s personal property or trade fixtures are levied against Landlord or Landlord’s property, or if the assessed valuation of the Project is increased by a value attributable to improvements in or alterations to the Premises, whether owned by Landlord or Tenant and whether or not affixed to the real property so as to become a part thereof, higher than the base valuation on which Landlord from time-to-time allocates Taxes to all tenants in the Project, Landlord shall have the right, but not the obligation, to pay such Taxes. Landlord’s determination of any excess assessed valuation shall be binding and conclusive, absent manifest error. The amount of any such payment by Landlord shall constitute Additional Rent due from Tenant to Landlord immediately upon demand.</w:t>
      </w:r>
    </w:p>
    <w:p>
      <w:pPr>
        <w:spacing w:after="0" w:line="182" w:lineRule="exact"/>
        <w:rPr>
          <w:sz w:val="20"/>
          <w:szCs w:val="20"/>
          <w:color w:val="auto"/>
        </w:rPr>
      </w:pPr>
    </w:p>
    <w:p>
      <w:pPr>
        <w:ind w:firstLine="8"/>
        <w:spacing w:after="0"/>
        <w:tabs>
          <w:tab w:leader="none" w:pos="30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Parking</w:t>
      </w:r>
      <w:r>
        <w:rPr>
          <w:rFonts w:ascii="Arial" w:cs="Arial" w:eastAsia="Arial" w:hAnsi="Arial"/>
          <w:sz w:val="18"/>
          <w:szCs w:val="18"/>
          <w:color w:val="auto"/>
        </w:rPr>
        <w:t>. Subject to all applicable Legal Requirements, Force Majeure, and any Taking (as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19</w:t>
      </w:r>
      <w:r>
        <w:rPr>
          <w:rFonts w:ascii="Arial" w:cs="Arial" w:eastAsia="Arial" w:hAnsi="Arial"/>
          <w:sz w:val="18"/>
          <w:szCs w:val="18"/>
          <w:b w:val="1"/>
          <w:bCs w:val="1"/>
          <w:color w:val="auto"/>
        </w:rPr>
        <w:t xml:space="preserve"> </w:t>
      </w:r>
      <w:r>
        <w:rPr>
          <w:rFonts w:ascii="Arial" w:cs="Arial" w:eastAsia="Arial" w:hAnsi="Arial"/>
          <w:sz w:val="18"/>
          <w:szCs w:val="18"/>
          <w:color w:val="auto"/>
        </w:rPr>
        <w:t>below), Tenant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right, at no additional cost to Tenant during the Base Term, in common with other tenants of the Project pro rata in accordance with the rentable area of the Premises and the rentable areas of the Project occupied by such other tenants, to park in those areas designated for non-reserved parking, subject in each case to Landlord’s rules and regulations. Commencing on the Commencement Date, Tenant’s pro rata share of parking spaces is equal to 3.3 parking spaces per 1,000 rentable square feet of the Premises. Landlord may allocate parking spaces among Tenant and other tenants in the Project pro rata as described above if Landlord determines that such parking facilities are becoming crowded. Landlord shall not be responsible for enforcing Tenant’s parking rights against any third parties, including other tenants of the Project.</w:t>
      </w:r>
    </w:p>
    <w:p>
      <w:pPr>
        <w:spacing w:after="0" w:line="180" w:lineRule="exact"/>
        <w:rPr>
          <w:rFonts w:ascii="Arial" w:cs="Arial" w:eastAsia="Arial" w:hAnsi="Arial"/>
          <w:sz w:val="18"/>
          <w:szCs w:val="18"/>
          <w:color w:val="auto"/>
        </w:rPr>
      </w:pPr>
    </w:p>
    <w:p>
      <w:pPr>
        <w:ind w:left="300" w:hanging="292"/>
        <w:spacing w:after="0"/>
        <w:tabs>
          <w:tab w:leader="none" w:pos="30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Utilities, Services</w:t>
      </w:r>
      <w:r>
        <w:rPr>
          <w:rFonts w:ascii="Arial" w:cs="Arial" w:eastAsia="Arial" w:hAnsi="Arial"/>
          <w:sz w:val="18"/>
          <w:szCs w:val="18"/>
          <w:color w:val="auto"/>
        </w:rPr>
        <w:t>.</w:t>
      </w:r>
    </w:p>
    <w:p>
      <w:pPr>
        <w:spacing w:after="0" w:line="12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hours of operation of the Building are 8:00 a.m. to 6:00 p.m., Monday through Friday and 8:00 a.m. to 1:00 p.m. on Saturday, legal holidays excepted (“</w:t>
      </w:r>
      <w:r>
        <w:rPr>
          <w:rFonts w:ascii="Arial" w:cs="Arial" w:eastAsia="Arial" w:hAnsi="Arial"/>
          <w:sz w:val="18"/>
          <w:szCs w:val="18"/>
          <w:b w:val="1"/>
          <w:bCs w:val="1"/>
          <w:color w:val="auto"/>
        </w:rPr>
        <w:t>Business Hours</w:t>
      </w:r>
      <w:r>
        <w:rPr>
          <w:rFonts w:ascii="Arial" w:cs="Arial" w:eastAsia="Arial" w:hAnsi="Arial"/>
          <w:sz w:val="18"/>
          <w:szCs w:val="18"/>
          <w:color w:val="auto"/>
        </w:rPr>
        <w:t xml:space="preserve">”). During such periods, Landlord shall provide, subject to the terms of this </w:t>
      </w:r>
      <w:r>
        <w:rPr>
          <w:rFonts w:ascii="Arial" w:cs="Arial" w:eastAsia="Arial" w:hAnsi="Arial"/>
          <w:sz w:val="18"/>
          <w:szCs w:val="18"/>
          <w:u w:val="single" w:color="auto"/>
          <w:color w:val="auto"/>
        </w:rPr>
        <w:t>Section 11</w:t>
      </w:r>
      <w:r>
        <w:rPr>
          <w:rFonts w:ascii="Arial" w:cs="Arial" w:eastAsia="Arial" w:hAnsi="Arial"/>
          <w:sz w:val="18"/>
          <w:szCs w:val="18"/>
          <w:color w:val="auto"/>
        </w:rPr>
        <w:t>, water, electricity, heat, light, power, sewer, and other utilities (including gas and fire sprinklers to the extent the Project is plumbed for such services), refuse and trash collection and janitorial services (collectively, “</w:t>
      </w:r>
      <w:r>
        <w:rPr>
          <w:rFonts w:ascii="Arial" w:cs="Arial" w:eastAsia="Arial" w:hAnsi="Arial"/>
          <w:sz w:val="18"/>
          <w:szCs w:val="18"/>
          <w:b w:val="1"/>
          <w:bCs w:val="1"/>
          <w:color w:val="auto"/>
        </w:rPr>
        <w:t>Utilities</w:t>
      </w:r>
      <w:r>
        <w:rPr>
          <w:rFonts w:ascii="Arial" w:cs="Arial" w:eastAsia="Arial" w:hAnsi="Arial"/>
          <w:sz w:val="18"/>
          <w:szCs w:val="18"/>
          <w:color w:val="auto"/>
        </w:rPr>
        <w:t>”). Upon reasonable advance notice from Tenant to Landlord, Landlord shall make available after-hours HVAC. Commencing on the Commencement Date, Tenant shall be required to pay to Landlord a fee at the rate of $130.00 per operating hour for providing such after-hours HVAC, which fee may be amended by Landlord from time to time upon reasonable advance written notice to Tenant. The minimum use of after-hours HVAC shall be determined by Landlord and may thereafter be amended by Landlord as the same may change from time to time upon reasonable advance notice to Tenant. Landlord shall pay, as Operating Expenses or subject to Tenant’s reimbursement obligation below, for all Utilities used on the Premises, all maintenance charges for Utilities, and any storm sewer charges or other similar charges for Utilities imposed by any Governmental Authority or Utility provider, and any taxes, penalties, surcharges or similar charges thereon. Landlord may cause, at Landlord’s expense (except to the extent necessary as a result of Tenant’s disproportionate use of Utilities), any Utilities to be separately metered or charged directly to Tenant by the provider. Tenant shall pay directly to the Utility provider, prior to delinquency, any separately metered Utilities and services which may be furnished to Tenant or the Premises during the Term. Commencing on the Commencement Date, Tenant shall pay, as part of Operating Expenses, its share of all charges for jointly metered Utilities based upon consumption, as reasonably determined by Landlord. No interruption or failure of Utilities, from any cause whatsoever other than Landlord’s willful misconduct, shall result in eviction or constructive eviction of Tenant, termination of this Lease or the abatement of Rent. Tenant agrees to limit use of water and sewer with respect to Common Areas to normal restroom use.</w:t>
      </w:r>
    </w:p>
    <w:p>
      <w:pPr>
        <w:spacing w:after="0" w:line="234" w:lineRule="exact"/>
        <w:rPr>
          <w:sz w:val="20"/>
          <w:szCs w:val="20"/>
          <w:color w:val="auto"/>
        </w:rPr>
      </w:pPr>
    </w:p>
    <w:p>
      <w:pPr>
        <w:ind w:right="200" w:firstLine="509"/>
        <w:spacing w:after="0" w:line="238" w:lineRule="auto"/>
        <w:rPr>
          <w:sz w:val="20"/>
          <w:szCs w:val="20"/>
          <w:color w:val="auto"/>
        </w:rPr>
      </w:pPr>
      <w:r>
        <w:rPr>
          <w:rFonts w:ascii="Arial" w:cs="Arial" w:eastAsia="Arial" w:hAnsi="Arial"/>
          <w:sz w:val="18"/>
          <w:szCs w:val="18"/>
          <w:color w:val="auto"/>
        </w:rPr>
        <w:t>Notwithstanding anything to the contrary set forth herein, if (i) a stoppage of an Essential Service (as defined below) to the Premises shall occur and such stoppage is due solely to the gross negligence or willful misconduct of Landlord and not due in any part to any act or omission on the part of Tenant or any Tenant Party or any matter beyond Landlord’s reasonable control (any such stoppage of an Essential Service being hereinafter referred to as a “</w:t>
      </w:r>
      <w:r>
        <w:rPr>
          <w:rFonts w:ascii="Arial" w:cs="Arial" w:eastAsia="Arial" w:hAnsi="Arial"/>
          <w:sz w:val="18"/>
          <w:szCs w:val="18"/>
          <w:b w:val="1"/>
          <w:bCs w:val="1"/>
          <w:color w:val="auto"/>
        </w:rPr>
        <w:t>Service Interruption</w:t>
      </w:r>
      <w:r>
        <w:rPr>
          <w:rFonts w:ascii="Arial" w:cs="Arial" w:eastAsia="Arial" w:hAnsi="Arial"/>
          <w:sz w:val="18"/>
          <w:szCs w:val="18"/>
          <w:color w:val="auto"/>
        </w:rPr>
        <w:t>”), and (ii) such Service Interruption continues for more than 5 consecutive business days after Landlord shall have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67" w:name="page168"/>
    <w:bookmarkEnd w:id="167"/>
    <w:p>
      <w:pPr>
        <w:ind w:right="20"/>
        <w:spacing w:after="0" w:line="236" w:lineRule="auto"/>
        <w:rPr>
          <w:sz w:val="20"/>
          <w:szCs w:val="20"/>
          <w:color w:val="auto"/>
        </w:rPr>
      </w:pPr>
      <w:r>
        <w:rPr>
          <w:rFonts w:ascii="Arial" w:cs="Arial" w:eastAsia="Arial" w:hAnsi="Arial"/>
          <w:sz w:val="18"/>
          <w:szCs w:val="18"/>
          <w:color w:val="auto"/>
        </w:rPr>
        <w:t>written notice thereof from Tenant, and (iii) as a result of such Service Interruption, the conduct of Tenant’s normal operations in the Premises are materially and adversely affected, then there shall be an abatement of one day’s Base Rent for each day during which such Service Interruption continues after such 5 business day period; provided, however, that if any part of the Premises is reasonably useable for Tenant’s normal business operations or if Tenant conducts all or any part of its operations in any portion of the Premises notwithstanding such Service Interruption, then the amount of each daily abatement of Base Rent shall only be proportionate to the nature and extent of the interruption of Tenant’s normal operations or ability to use the Premises. The rights granted to Tenant under this paragraph shall be Tenant’s sole and exclusive remedy resulting from a failure of Landlord to provide services, and Landlord shall not otherwise be liable for any loss or damage suffered or sustained by Tenant resulting from any failure or cessation of services. For purposes hereof, the term “</w:t>
      </w:r>
      <w:r>
        <w:rPr>
          <w:rFonts w:ascii="Arial" w:cs="Arial" w:eastAsia="Arial" w:hAnsi="Arial"/>
          <w:sz w:val="18"/>
          <w:szCs w:val="18"/>
          <w:b w:val="1"/>
          <w:bCs w:val="1"/>
          <w:color w:val="auto"/>
        </w:rPr>
        <w:t>Essential</w:t>
      </w:r>
      <w:r>
        <w:rPr>
          <w:rFonts w:ascii="Arial" w:cs="Arial" w:eastAsia="Arial" w:hAnsi="Arial"/>
          <w:sz w:val="18"/>
          <w:szCs w:val="18"/>
          <w:color w:val="auto"/>
        </w:rPr>
        <w:t xml:space="preserve"> </w:t>
      </w:r>
      <w:r>
        <w:rPr>
          <w:rFonts w:ascii="Arial" w:cs="Arial" w:eastAsia="Arial" w:hAnsi="Arial"/>
          <w:sz w:val="18"/>
          <w:szCs w:val="18"/>
          <w:b w:val="1"/>
          <w:bCs w:val="1"/>
          <w:color w:val="auto"/>
        </w:rPr>
        <w:t>Services</w:t>
      </w:r>
      <w:r>
        <w:rPr>
          <w:rFonts w:ascii="Arial" w:cs="Arial" w:eastAsia="Arial" w:hAnsi="Arial"/>
          <w:sz w:val="18"/>
          <w:szCs w:val="18"/>
          <w:color w:val="auto"/>
        </w:rPr>
        <w:t>” shall mean the following services: HVAC service, water, sewer, electricity and elevators, but in each case only to the extent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has an obligation to provide same to Tenant under this Lease.</w:t>
      </w:r>
    </w:p>
    <w:p>
      <w:pPr>
        <w:spacing w:after="0" w:line="98" w:lineRule="exact"/>
        <w:rPr>
          <w:sz w:val="20"/>
          <w:szCs w:val="20"/>
          <w:color w:val="auto"/>
        </w:rPr>
      </w:pPr>
    </w:p>
    <w:p>
      <w:pPr>
        <w:ind w:right="300" w:firstLine="509"/>
        <w:spacing w:after="0" w:line="238" w:lineRule="auto"/>
        <w:rPr>
          <w:sz w:val="20"/>
          <w:szCs w:val="20"/>
          <w:color w:val="auto"/>
        </w:rPr>
      </w:pPr>
      <w:r>
        <w:rPr>
          <w:rFonts w:ascii="Arial" w:cs="Arial" w:eastAsia="Arial" w:hAnsi="Arial"/>
          <w:sz w:val="18"/>
          <w:szCs w:val="18"/>
          <w:color w:val="auto"/>
        </w:rPr>
        <w:t>Tenant agrees to provide Landlord with access to Tenant’s water and/or energy usage data on a monthly basis, either by providing Tenant’s applicable utility login credentials to Landlord’s Measurabl online portal, or by another delivery method reasonably agreed to by Landlord and Tenant. The costs and expenses incurred by Landlord in connection with receiving and analyzing such water and/or energy usage data (including, without limitation, as may be required pursuant to applicable Legal Requirements) shall be included as part of Operating Expenses.</w:t>
      </w:r>
    </w:p>
    <w:p>
      <w:pPr>
        <w:spacing w:after="0" w:line="180" w:lineRule="exact"/>
        <w:rPr>
          <w:sz w:val="20"/>
          <w:szCs w:val="20"/>
          <w:color w:val="auto"/>
        </w:rPr>
      </w:pPr>
    </w:p>
    <w:p>
      <w:pPr>
        <w:ind w:right="40" w:firstLine="8"/>
        <w:spacing w:after="0" w:line="236" w:lineRule="auto"/>
        <w:tabs>
          <w:tab w:leader="none" w:pos="30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Alterations and Tenant’s Property</w:t>
      </w:r>
      <w:r>
        <w:rPr>
          <w:rFonts w:ascii="Arial" w:cs="Arial" w:eastAsia="Arial" w:hAnsi="Arial"/>
          <w:sz w:val="18"/>
          <w:szCs w:val="18"/>
          <w:color w:val="auto"/>
        </w:rPr>
        <w:t>. The construction of the Tenant Improvements shall be governed by the terms of the Work Letter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not the terms of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Any alterations, additions, or improvements made to the Premises by or on behalf of Tenant, including additional locks or bolts of any kind or nature upon any doors or windows in the Premises, but excluding installation, removal or realignment of furniture systems (other than removal of furniture systems owned or paid for by Landlord) not involving any modifications to the structure or connections (other than by ordinary plugs or jacks) to Building Systems (as defined in </w:t>
      </w:r>
      <w:r>
        <w:rPr>
          <w:rFonts w:ascii="Arial" w:cs="Arial" w:eastAsia="Arial" w:hAnsi="Arial"/>
          <w:sz w:val="18"/>
          <w:szCs w:val="18"/>
          <w:u w:val="single" w:color="auto"/>
          <w:color w:val="auto"/>
        </w:rPr>
        <w:t>Section 13</w:t>
      </w:r>
      <w:r>
        <w:rPr>
          <w:rFonts w:ascii="Arial" w:cs="Arial" w:eastAsia="Arial" w:hAnsi="Arial"/>
          <w:sz w:val="18"/>
          <w:szCs w:val="18"/>
          <w:color w:val="auto"/>
        </w:rPr>
        <w:t>) (“</w:t>
      </w:r>
      <w:r>
        <w:rPr>
          <w:rFonts w:ascii="Arial" w:cs="Arial" w:eastAsia="Arial" w:hAnsi="Arial"/>
          <w:sz w:val="18"/>
          <w:szCs w:val="18"/>
          <w:b w:val="1"/>
          <w:bCs w:val="1"/>
          <w:color w:val="auto"/>
        </w:rPr>
        <w:t>Alterations</w:t>
      </w:r>
      <w:r>
        <w:rPr>
          <w:rFonts w:ascii="Arial" w:cs="Arial" w:eastAsia="Arial" w:hAnsi="Arial"/>
          <w:sz w:val="18"/>
          <w:szCs w:val="18"/>
          <w:color w:val="auto"/>
        </w:rPr>
        <w:t>”) shall be subject to Landlord’s prior written consent, which may be given or withheld in Landlord’s sole discretion if any such Alteration affects the structure or Building Systems and shall not be otherwise unreasonably withheld. Tenant may construct nonstructural Alterations in the Premises without Landlord’s prior approval if the aggregate cost of all such work in any 12 month period does not exceed $25,000.00 (a “</w:t>
      </w:r>
      <w:r>
        <w:rPr>
          <w:rFonts w:ascii="Arial" w:cs="Arial" w:eastAsia="Arial" w:hAnsi="Arial"/>
          <w:sz w:val="18"/>
          <w:szCs w:val="18"/>
          <w:b w:val="1"/>
          <w:bCs w:val="1"/>
          <w:color w:val="auto"/>
        </w:rPr>
        <w:t>Notice-Only</w:t>
      </w:r>
      <w:r>
        <w:rPr>
          <w:rFonts w:ascii="Arial" w:cs="Arial" w:eastAsia="Arial" w:hAnsi="Arial"/>
          <w:sz w:val="18"/>
          <w:szCs w:val="18"/>
          <w:color w:val="auto"/>
        </w:rPr>
        <w:t xml:space="preserve"> </w:t>
      </w:r>
      <w:r>
        <w:rPr>
          <w:rFonts w:ascii="Arial" w:cs="Arial" w:eastAsia="Arial" w:hAnsi="Arial"/>
          <w:sz w:val="18"/>
          <w:szCs w:val="18"/>
          <w:b w:val="1"/>
          <w:bCs w:val="1"/>
          <w:color w:val="auto"/>
        </w:rPr>
        <w:t>Alteration</w:t>
      </w:r>
      <w:r>
        <w:rPr>
          <w:rFonts w:ascii="Arial" w:cs="Arial" w:eastAsia="Arial" w:hAnsi="Arial"/>
          <w:sz w:val="18"/>
          <w:szCs w:val="18"/>
          <w:color w:val="auto"/>
        </w:rPr>
        <w:t>”), provided Tenant notifies Landlord in writing of such intended Notice-Only Alteration, and such notice shall be accompanied by</w:t>
      </w:r>
      <w:r>
        <w:rPr>
          <w:rFonts w:ascii="Arial" w:cs="Arial" w:eastAsia="Arial" w:hAnsi="Arial"/>
          <w:sz w:val="18"/>
          <w:szCs w:val="18"/>
          <w:b w:val="1"/>
          <w:bCs w:val="1"/>
          <w:color w:val="auto"/>
        </w:rPr>
        <w:t xml:space="preserve"> </w:t>
      </w:r>
      <w:r>
        <w:rPr>
          <w:rFonts w:ascii="Arial" w:cs="Arial" w:eastAsia="Arial" w:hAnsi="Arial"/>
          <w:sz w:val="18"/>
          <w:szCs w:val="18"/>
          <w:color w:val="auto"/>
        </w:rPr>
        <w:t>plans, specifications, work contracts and such other information concerning the nature and cost of the Notice-Only Alteration as may be reasonably requested by Landlord, which notice and accompanying materials shall be delivered to Landlord not less than 15 business days in advance of any proposed construction. If Landlord approves any Alterations, Landlord may impose such conditions on Tenant in connection with the commencement, performance and completion of such Alterations as Landlord may deem appropriate in Landlord’s reasonable discretion. Any request for approval shall be in writing, delivered not less than 15 business days in advance of any proposed construction, and accompanied by plans, specifications, bid proposals, work contracts and such other information concerning the nature and cost of the alterations as may be reasonably requested by Landlord, including the identities and mailing addresses of all persons performing work or supplying materials. Landlord’s right to review plans and specifications and to monitor construction shall be solely for its own benefit, and Landlord shall have no duty to ensure that such plans and specifications or construction comply with applicable Legal Requirements. Tenant shall cause, at its sole cost and expense, all Alterations to comply with insurance requirements and with Legal Requirements and shall implement at its sole cost and expense any alteration or modification required by Legal Requirements as a result of any Alterations. Tenant shall pay to Landlord, as Additional Rent, on demand an amount equal to 5% of all charges incurred by Tenant or its contractors or agents in connection with any Alteration to cover Landlord’s overhead and expenses for plan review, coordination, scheduling and supervision. Before Tenant begins any Alteration, Landlord may post on and about the Premises notices of non-responsibility pursuant to applicable law. Tenant shall reimburse Landlord for, and indemnify and hold Landlord harmless from, any expense incurred by Landlord by reason of faulty work done by Tenant or its contractors, delays caused by such work, or inadequate cleanup.</w:t>
      </w:r>
    </w:p>
    <w:p>
      <w:pPr>
        <w:spacing w:after="0" w:line="21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Tenant shall furnish security or make other arrangements satisfactory to Landlord to assure payment for the completion of all Alterations work costing more than $ 50,0000 free and clear of liens, and for all Alterations, shall provide (and cause each contractor or subcontractor to provide) certificates of insurance for workers’ compensation and other coverage in amounts and from an insurance company satisfactory to Landlord protecting Landlord against liability for personal injury or property damage during construction. Upon completion of any Alterations, Tenant shall deliver to Landlord: (i) sworn statements setting forth the names of all contractors and subcontractors who did the work and final lien waivers from all such contractors and subcontractors; and (ii) “as built” plans for any such Alteration.</w:t>
      </w:r>
    </w:p>
    <w:p>
      <w:pPr>
        <w:spacing w:after="0" w:line="97" w:lineRule="exact"/>
        <w:rPr>
          <w:sz w:val="20"/>
          <w:szCs w:val="20"/>
          <w:color w:val="auto"/>
        </w:rPr>
      </w:pPr>
    </w:p>
    <w:p>
      <w:pPr>
        <w:ind w:right="300" w:firstLine="509"/>
        <w:spacing w:after="0" w:line="238" w:lineRule="auto"/>
        <w:rPr>
          <w:sz w:val="20"/>
          <w:szCs w:val="20"/>
          <w:color w:val="auto"/>
        </w:rPr>
      </w:pPr>
      <w:r>
        <w:rPr>
          <w:rFonts w:ascii="Arial" w:cs="Arial" w:eastAsia="Arial" w:hAnsi="Arial"/>
          <w:sz w:val="18"/>
          <w:szCs w:val="18"/>
          <w:color w:val="auto"/>
        </w:rPr>
        <w:t>Except for Removable Installations (as hereinafter defined), all Installations (as hereinafter defined) shall be and shall remain the property of Landlord during the Term and following the expiration or earlier termination of the Term, shall not be removed by Tenant at any time during the Term, and shall remain upon and be surrendered with the Premises as a part thereof. Notwithstanding the foregoing, Landlord may, at the time its approval of any such Installation is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8" w:name="page169"/>
    <w:bookmarkEnd w:id="168"/>
    <w:p>
      <w:pPr>
        <w:ind w:right="20"/>
        <w:spacing w:after="0" w:line="236" w:lineRule="auto"/>
        <w:rPr>
          <w:sz w:val="20"/>
          <w:szCs w:val="20"/>
          <w:color w:val="auto"/>
        </w:rPr>
      </w:pPr>
      <w:r>
        <w:rPr>
          <w:rFonts w:ascii="Arial" w:cs="Arial" w:eastAsia="Arial" w:hAnsi="Arial"/>
          <w:sz w:val="18"/>
          <w:szCs w:val="18"/>
          <w:color w:val="auto"/>
        </w:rPr>
        <w:t>or at the time it receives notice of a Notice-Only Alteration, notify Tenant that Landlord requires that Tenant remove such Installation upon the expiration or earlier termination of the Term, in which event Tenant shall remove such Installation in accordance with the immediately succeeding sentence. Upon the expiration or earlier termination of the Term, Tenant shall remove (i) all wires, cables or similar equipment which Tenant has installed in the Premises or in the risers or plenums of the Building, (ii) any Installations for which Landlord has given Tenant notice of removal in accordance with the immediately preceding sentence, and (iii) all of Tenant’s Property (as hereinafter defined), and Tenant shall restore and repair any damage caused by or occasioned as a result of such removal, including, without limitation, capping off all such connections behind the walls of the Premises and repairing any holes. During any restoration period beyond the expiration or earlier termination of the Term, Tenant shall pay Rent to Landlord as provided herein as if said space were otherwise occupied by Tenant. If Landlord is requested by Tenant or any lender, lessor or other person or entity claiming an interest in any of Tenant’s Property to waive any lien Landlord may have against any of Tenant’s Property, and Landlord consents to such waiver, then Landlord shall be entitled to reimbursement from Tenant for its actual, reasonable out-of-pocket costs incurred in connection with the preparation and negotiation of each such waiver of lien.</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purposes of this Lease, (x) “</w:t>
      </w:r>
      <w:r>
        <w:rPr>
          <w:rFonts w:ascii="Arial" w:cs="Arial" w:eastAsia="Arial" w:hAnsi="Arial"/>
          <w:sz w:val="18"/>
          <w:szCs w:val="18"/>
          <w:b w:val="1"/>
          <w:bCs w:val="1"/>
          <w:color w:val="auto"/>
        </w:rPr>
        <w:t>Removable Installations</w:t>
      </w:r>
      <w:r>
        <w:rPr>
          <w:rFonts w:ascii="Arial" w:cs="Arial" w:eastAsia="Arial" w:hAnsi="Arial"/>
          <w:sz w:val="18"/>
          <w:szCs w:val="18"/>
          <w:color w:val="auto"/>
        </w:rPr>
        <w:t xml:space="preserve">” means any items listed on </w:t>
      </w:r>
      <w:r>
        <w:rPr>
          <w:rFonts w:ascii="Arial" w:cs="Arial" w:eastAsia="Arial" w:hAnsi="Arial"/>
          <w:sz w:val="18"/>
          <w:szCs w:val="18"/>
          <w:b w:val="1"/>
          <w:bCs w:val="1"/>
          <w:color w:val="auto"/>
        </w:rPr>
        <w:t>Exhibit F</w:t>
      </w:r>
      <w:r>
        <w:rPr>
          <w:rFonts w:ascii="Arial" w:cs="Arial" w:eastAsia="Arial" w:hAnsi="Arial"/>
          <w:sz w:val="18"/>
          <w:szCs w:val="18"/>
          <w:color w:val="auto"/>
        </w:rPr>
        <w:t xml:space="preserve"> attached hereto and any items agreed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Landlord in writing to be included on </w:t>
      </w:r>
      <w:r>
        <w:rPr>
          <w:rFonts w:ascii="Arial" w:cs="Arial" w:eastAsia="Arial" w:hAnsi="Arial"/>
          <w:sz w:val="18"/>
          <w:szCs w:val="18"/>
          <w:b w:val="1"/>
          <w:bCs w:val="1"/>
          <w:color w:val="auto"/>
        </w:rPr>
        <w:t>Exhibit F</w:t>
      </w:r>
      <w:r>
        <w:rPr>
          <w:rFonts w:ascii="Arial" w:cs="Arial" w:eastAsia="Arial" w:hAnsi="Arial"/>
          <w:sz w:val="18"/>
          <w:szCs w:val="18"/>
          <w:color w:val="auto"/>
        </w:rPr>
        <w:t>in the future, (y) “</w:t>
      </w:r>
      <w:r>
        <w:rPr>
          <w:rFonts w:ascii="Arial" w:cs="Arial" w:eastAsia="Arial" w:hAnsi="Arial"/>
          <w:sz w:val="18"/>
          <w:szCs w:val="18"/>
          <w:b w:val="1"/>
          <w:bCs w:val="1"/>
          <w:color w:val="auto"/>
        </w:rPr>
        <w:t>Tenant’s Property</w:t>
      </w:r>
      <w:r>
        <w:rPr>
          <w:rFonts w:ascii="Arial" w:cs="Arial" w:eastAsia="Arial" w:hAnsi="Arial"/>
          <w:sz w:val="18"/>
          <w:szCs w:val="18"/>
          <w:color w:val="auto"/>
        </w:rPr>
        <w:t>” means Removable Installations and, other than</w:t>
      </w:r>
    </w:p>
    <w:p>
      <w:pPr>
        <w:spacing w:after="0" w:line="234" w:lineRule="auto"/>
        <w:rPr>
          <w:sz w:val="20"/>
          <w:szCs w:val="20"/>
          <w:color w:val="auto"/>
        </w:rPr>
      </w:pPr>
      <w:r>
        <w:rPr>
          <w:rFonts w:ascii="Arial" w:cs="Arial" w:eastAsia="Arial" w:hAnsi="Arial"/>
          <w:sz w:val="18"/>
          <w:szCs w:val="18"/>
          <w:color w:val="auto"/>
        </w:rPr>
        <w:t>Installations, any personal property or equipment of Tenant that may be removed without material damage to the Premises, and (z)</w:t>
      </w:r>
    </w:p>
    <w:p>
      <w:pPr>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Installations</w:t>
      </w:r>
      <w:r>
        <w:rPr>
          <w:rFonts w:ascii="Arial" w:cs="Arial" w:eastAsia="Arial" w:hAnsi="Arial"/>
          <w:sz w:val="18"/>
          <w:szCs w:val="18"/>
          <w:color w:val="auto"/>
        </w:rPr>
        <w:t>” means all property of any kind paid for with the TI Fund, all Alterations, all fixtures, and all partitions, hardware, built-in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machinery, built-in casework and cabinets and other similar additions, equipment, property and improvements built into the Premises so as to</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become an integral part of the Premises.</w:t>
      </w:r>
    </w:p>
    <w:p>
      <w:pPr>
        <w:spacing w:after="0" w:line="21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Notwithstanding anything to the contrary contained herein, Tenant shall not be required to remove or restore the Tenant Improvements constructed pursuant to this Work Letter at the expiration or earlier termination of the Term, nor shall Tenant have the right to remove any such Tenant Improvement at any time.</w:t>
      </w:r>
    </w:p>
    <w:p>
      <w:pPr>
        <w:spacing w:after="0" w:line="181" w:lineRule="exact"/>
        <w:rPr>
          <w:sz w:val="20"/>
          <w:szCs w:val="20"/>
          <w:color w:val="auto"/>
        </w:rPr>
      </w:pPr>
    </w:p>
    <w:p>
      <w:pPr>
        <w:ind w:firstLine="8"/>
        <w:spacing w:after="0" w:line="237" w:lineRule="auto"/>
        <w:tabs>
          <w:tab w:leader="none" w:pos="30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Landlord’s Repairs</w:t>
      </w:r>
      <w:r>
        <w:rPr>
          <w:rFonts w:ascii="Arial" w:cs="Arial" w:eastAsia="Arial" w:hAnsi="Arial"/>
          <w:sz w:val="18"/>
          <w:szCs w:val="18"/>
          <w:color w:val="auto"/>
        </w:rPr>
        <w:t>. Landlord, as an Operating Expense, shall maintain all of the structural, exterior, parking and other Common Areas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Project, including HVAC, plumbing, fire sprinklers, elevators and all other building systems serving the Premises and other portions of the Project (“</w:t>
      </w:r>
      <w:r>
        <w:rPr>
          <w:rFonts w:ascii="Arial" w:cs="Arial" w:eastAsia="Arial" w:hAnsi="Arial"/>
          <w:sz w:val="18"/>
          <w:szCs w:val="18"/>
          <w:b w:val="1"/>
          <w:bCs w:val="1"/>
          <w:color w:val="auto"/>
        </w:rPr>
        <w:t>Building Systems</w:t>
      </w:r>
      <w:r>
        <w:rPr>
          <w:rFonts w:ascii="Arial" w:cs="Arial" w:eastAsia="Arial" w:hAnsi="Arial"/>
          <w:sz w:val="18"/>
          <w:szCs w:val="18"/>
          <w:color w:val="auto"/>
        </w:rPr>
        <w:t>”), in good repair, reasonable wear and tear and uninsured losses and damages caused by Tenant, or by any of Tenant’s assignees, sublessees, licensees, agents, servants, employees, invitees and contractors (or any of Tenant’s assignees, sublessees and/or licensees respective agents, servants, employees, invitees and contractors) (collectively, “</w:t>
      </w:r>
      <w:r>
        <w:rPr>
          <w:rFonts w:ascii="Arial" w:cs="Arial" w:eastAsia="Arial" w:hAnsi="Arial"/>
          <w:sz w:val="18"/>
          <w:szCs w:val="18"/>
          <w:b w:val="1"/>
          <w:bCs w:val="1"/>
          <w:color w:val="auto"/>
        </w:rPr>
        <w:t>Tenant Parties</w:t>
      </w:r>
      <w:r>
        <w:rPr>
          <w:rFonts w:ascii="Arial" w:cs="Arial" w:eastAsia="Arial" w:hAnsi="Arial"/>
          <w:sz w:val="18"/>
          <w:szCs w:val="18"/>
          <w:color w:val="auto"/>
        </w:rPr>
        <w:t xml:space="preserve">”) excluded. Losses and damages caused by Tenant or any Tenant Party shall be repaired by Landlord, to the extent not covered by insurance, at Tenant’s sole cost and expense. Landlord reserves the right to stop Building Systems services when necessary (i) by reason of accident or emergency, or (ii) for planned repairs, alterations or improvements, which are, in the judgment of Landlord, desirable or necessary to be made, until said repairs, alterations or improvements shall have been completed. Landlord shall have no responsibility or liability for failure to supply Building Systems services during any such period of interruption;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Landlord shall, except in case of emergency, make a commercially reasonable effort to give Tenant 24 hours advance notice of any planned stoppage of Building Systems services for routine maintenance, repairs, alterations or improvements. Landlord shall use reasonable efforts to minimize interference with Tenant’s operations in the Premises in connection with Landlord’s performance of such planned stoppages of building system services. Tenant shall promptly give Landlord written notice of any repair required by Landlord pursuant to this Section, after which Landlord shall make a commercially reasonable effort to effect such repair. Landlord shall not be liable for any failure to make any repairs or to perform any maintenance unless such failure shall persist for an unreasonable time after Tenant’s written notice of the need for such repairs or maintenance. Tenant waives its rights under any state or local law to terminate this Lease or to make such repairs at Landlord’s expense and agrees that the parties’ respective rights with respect to such matters shall be solely as set forth herein. Repairs required as the result of fire, earthquake, flood, vandalism, war, or similar cause of damage or destruction shall be controlled by </w:t>
      </w:r>
      <w:r>
        <w:rPr>
          <w:rFonts w:ascii="Arial" w:cs="Arial" w:eastAsia="Arial" w:hAnsi="Arial"/>
          <w:sz w:val="18"/>
          <w:szCs w:val="18"/>
          <w:u w:val="single" w:color="auto"/>
          <w:color w:val="auto"/>
        </w:rPr>
        <w:t>Section 18</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firstLine="8"/>
        <w:spacing w:after="0" w:line="239" w:lineRule="auto"/>
        <w:tabs>
          <w:tab w:leader="none" w:pos="30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Tenant’s Repairs</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w:t>
      </w:r>
      <w:r>
        <w:rPr>
          <w:rFonts w:ascii="Arial" w:cs="Arial" w:eastAsia="Arial" w:hAnsi="Arial"/>
          <w:sz w:val="18"/>
          <w:szCs w:val="18"/>
          <w:color w:val="auto"/>
        </w:rPr>
        <w:t>hereof, Tenant, at its expense, shall repair, replace and maintain in good condition all portions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Premises, including, without limitation, entries, doors, ceilings, interior windows, interior walls, and the interior side of demising walls. Should Tenant fail to make any such repair or replacement or fail to maintain the Premises, Landlord shall give Tenant notice of such failure. If Tenant fails to commence cure of such failure within 10 days of Landlord’s notice, and thereafter diligently prosecute such cure to completion, Landlord may perform such work and shall be reimbursed by Tenant within 10 days after demand therefor; provided, however, that if such failure by Tenant creates or could create an emergency, Landlord may immediately commence cure of such failure and shall thereafter be entitled to recover the costs of such cure from Tenant. Subject to </w:t>
      </w:r>
      <w:r>
        <w:rPr>
          <w:rFonts w:ascii="Arial" w:cs="Arial" w:eastAsia="Arial" w:hAnsi="Arial"/>
          <w:sz w:val="18"/>
          <w:szCs w:val="18"/>
          <w:u w:val="single" w:color="auto"/>
          <w:color w:val="auto"/>
        </w:rPr>
        <w:t>Sections 17</w:t>
      </w:r>
      <w:r>
        <w:rPr>
          <w:rFonts w:ascii="Arial" w:cs="Arial" w:eastAsia="Arial" w:hAnsi="Arial"/>
          <w:sz w:val="18"/>
          <w:szCs w:val="18"/>
          <w:color w:val="auto"/>
        </w:rPr>
        <w:t xml:space="preserve">and </w:t>
      </w:r>
      <w:r>
        <w:rPr>
          <w:rFonts w:ascii="Arial" w:cs="Arial" w:eastAsia="Arial" w:hAnsi="Arial"/>
          <w:sz w:val="18"/>
          <w:szCs w:val="18"/>
          <w:u w:val="single" w:color="auto"/>
          <w:color w:val="auto"/>
        </w:rPr>
        <w:t>18</w:t>
      </w:r>
      <w:r>
        <w:rPr>
          <w:rFonts w:ascii="Arial" w:cs="Arial" w:eastAsia="Arial" w:hAnsi="Arial"/>
          <w:sz w:val="18"/>
          <w:szCs w:val="18"/>
          <w:color w:val="auto"/>
        </w:rPr>
        <w:t>, Tenant shall bear the full uninsured cost of any repair or replacement to any part of the Project that results from damage caused by Tenant or any Tenant Party and any repair that benefits only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178435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69" w:name="page170"/>
    <w:bookmarkEnd w:id="169"/>
    <w:p>
      <w:pPr>
        <w:ind w:right="20" w:firstLine="8"/>
        <w:spacing w:after="0" w:line="238" w:lineRule="auto"/>
        <w:tabs>
          <w:tab w:leader="none" w:pos="30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Mechanic’s Liens</w:t>
      </w:r>
      <w:r>
        <w:rPr>
          <w:rFonts w:ascii="Arial" w:cs="Arial" w:eastAsia="Arial" w:hAnsi="Arial"/>
          <w:sz w:val="18"/>
          <w:szCs w:val="18"/>
          <w:color w:val="auto"/>
        </w:rPr>
        <w:t>. Tenant shall discharge, by bond or otherwise, any mechanic’s lien filed against the Premises or against the Project</w:t>
      </w:r>
      <w:r>
        <w:rPr>
          <w:rFonts w:ascii="Arial" w:cs="Arial" w:eastAsia="Arial" w:hAnsi="Arial"/>
          <w:sz w:val="18"/>
          <w:szCs w:val="18"/>
          <w:b w:val="1"/>
          <w:bCs w:val="1"/>
          <w:color w:val="auto"/>
        </w:rPr>
        <w:t xml:space="preserve"> </w:t>
      </w:r>
      <w:r>
        <w:rPr>
          <w:rFonts w:ascii="Arial" w:cs="Arial" w:eastAsia="Arial" w:hAnsi="Arial"/>
          <w:sz w:val="18"/>
          <w:szCs w:val="18"/>
          <w:color w:val="auto"/>
        </w:rPr>
        <w:t>for work claimed to have been done for, or materials claimed to have been furnished to, Tenant within 10 days after the filing thereof, at Tenant’s sole cost and shall otherwise keep the Premises and the Project free from any liens arising out of work performed, materials furnished or obligations incurred by Tenant. Should Tenant fail to discharge any lien described herein, Landlord shall have the right, but not the obligation, to pay such claim or post a bond or otherwise provide security to eliminate the lien as a claim against title to the Project and the cost thereof shall be immediately due from Tenant as Additional Rent. If Tenant shall lease or finance the acquisition of office equipment, furnishings, or other personal property of a removable nature utilized by Tenant in the operation of Tenant’s business, Tenant warrants that any Uniform Commercial Code Financing Statement filed as a matter of public record by any lessor or creditor of Tenant will upon its face or by exhibit thereto indicate that such Financing Statement is applicable only to removable personal property of Tenant located within the Premises. In no event shall the address of the Project be furnished on the statement without qualifying language as to applicability of the lien only to removable personal property, located in an identified suite held by Tenant.</w:t>
      </w:r>
    </w:p>
    <w:p>
      <w:pPr>
        <w:spacing w:after="0" w:line="185" w:lineRule="exact"/>
        <w:rPr>
          <w:rFonts w:ascii="Arial" w:cs="Arial" w:eastAsia="Arial" w:hAnsi="Arial"/>
          <w:sz w:val="18"/>
          <w:szCs w:val="18"/>
          <w:color w:val="auto"/>
        </w:rPr>
      </w:pPr>
    </w:p>
    <w:p>
      <w:pPr>
        <w:ind w:right="20" w:firstLine="8"/>
        <w:spacing w:after="0" w:line="239" w:lineRule="auto"/>
        <w:tabs>
          <w:tab w:leader="none" w:pos="30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 Tenant hereby indemnifies and agrees to defend, save and hold Landlord, its officers, directors, employees, managers,</w:t>
      </w:r>
      <w:r>
        <w:rPr>
          <w:rFonts w:ascii="Arial" w:cs="Arial" w:eastAsia="Arial" w:hAnsi="Arial"/>
          <w:sz w:val="18"/>
          <w:szCs w:val="18"/>
          <w:b w:val="1"/>
          <w:bCs w:val="1"/>
          <w:color w:val="auto"/>
        </w:rPr>
        <w:t xml:space="preserve"> </w:t>
      </w:r>
      <w:r>
        <w:rPr>
          <w:rFonts w:ascii="Arial" w:cs="Arial" w:eastAsia="Arial" w:hAnsi="Arial"/>
          <w:sz w:val="18"/>
          <w:szCs w:val="18"/>
          <w:color w:val="auto"/>
        </w:rPr>
        <w:t>agents, sub-agents, constituent entities and lease signators (collectively, “</w:t>
      </w:r>
      <w:r>
        <w:rPr>
          <w:rFonts w:ascii="Arial" w:cs="Arial" w:eastAsia="Arial" w:hAnsi="Arial"/>
          <w:sz w:val="18"/>
          <w:szCs w:val="18"/>
          <w:b w:val="1"/>
          <w:bCs w:val="1"/>
          <w:color w:val="auto"/>
        </w:rPr>
        <w:t>Landlord Indemnified Parties</w:t>
      </w:r>
      <w:r>
        <w:rPr>
          <w:rFonts w:ascii="Arial" w:cs="Arial" w:eastAsia="Arial" w:hAnsi="Arial"/>
          <w:sz w:val="18"/>
          <w:szCs w:val="18"/>
          <w:color w:val="auto"/>
        </w:rPr>
        <w:t>”) harmless from and against any and all Claims for injury or death to persons or damage to property occurring within or about the Premises or the Project arising directly or indirectly out of use or occupancy of the Premises or the Project (including, without limitation, any act, omission or neglect by Tenant or any Tenant’s Parties in or about the Premises or at the Project) or a breach or default by Tenant in the performance of any of its obligations hereunder, except to the extent caused by the willful misconduct or gross negligence of Landlord Indemnified Parties. Landlord shall not be liable to Tenant for, and Tenant assumes all risk of damage to, personal property (including, without limitation, loss of records kept within the Premises). Tenant further waives any and all Claims for injury to Tenant’s business or loss of income relating to any such damage or destruction of personal property (including, without limitation, any loss of records). Landlord Indemnified Parties shall not be liable for any damages arising from any act, omission or neglect of any tenant in the Project or of any other third party or Tenant Parties.</w:t>
      </w:r>
    </w:p>
    <w:p>
      <w:pPr>
        <w:spacing w:after="0" w:line="179" w:lineRule="exact"/>
        <w:rPr>
          <w:rFonts w:ascii="Arial" w:cs="Arial" w:eastAsia="Arial" w:hAnsi="Arial"/>
          <w:sz w:val="18"/>
          <w:szCs w:val="18"/>
          <w:color w:val="auto"/>
        </w:rPr>
      </w:pPr>
    </w:p>
    <w:p>
      <w:pPr>
        <w:ind w:firstLine="8"/>
        <w:spacing w:after="0" w:line="239" w:lineRule="auto"/>
        <w:tabs>
          <w:tab w:leader="none" w:pos="30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Landlord shall maintain all risk property and, if applicable, sprinkler damage insurance covering the full replacement cost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Project. Landlord shall further procure and maintain commercial general liability insurance with a single loss limit of not less than $2,000,000 for bodily injury and property damage with respect to the Project. Landlord may, but is not obligated to, maintain such other insurance and additional coverages as it may deem necessary, including, but not limited to, flood, environmental hazard and earthquake, loss or failure of building equipment, errors and omissions, rental loss during the period of repair or rebuilding, workers’ compensation insurance and fidelity bonds for employees employed to perform services and insurance for any improvements installed by Tenant or which are in addition to the standard improvements customarily furnished by Landlord without regard to whether or not such are made a part of the Project. All such insurance shall be included as part of the Operating Expenses. The Project may be included in a blanket policy (in which case the cost of such insurance allocable to the Project will be determined by Landlord based upon the insurer’s cost calculations).</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Tenant, at its sole cost and expense, shall maintain during the Term: special form property insurance with business interruption and</w:t>
      </w:r>
    </w:p>
    <w:p>
      <w:pPr>
        <w:spacing w:after="0" w:line="234" w:lineRule="auto"/>
        <w:rPr>
          <w:sz w:val="20"/>
          <w:szCs w:val="20"/>
          <w:color w:val="auto"/>
        </w:rPr>
      </w:pPr>
      <w:r>
        <w:rPr>
          <w:rFonts w:ascii="Arial" w:cs="Arial" w:eastAsia="Arial" w:hAnsi="Arial"/>
          <w:sz w:val="18"/>
          <w:szCs w:val="18"/>
          <w:color w:val="auto"/>
        </w:rPr>
        <w:t>extra expense coverage, covering the full replacement cost of all property and improvements installed or placed in the Premises by Tenant at</w:t>
      </w:r>
    </w:p>
    <w:p>
      <w:pPr>
        <w:spacing w:after="0" w:line="235" w:lineRule="auto"/>
        <w:rPr>
          <w:sz w:val="20"/>
          <w:szCs w:val="20"/>
          <w:color w:val="auto"/>
        </w:rPr>
      </w:pPr>
      <w:r>
        <w:rPr>
          <w:rFonts w:ascii="Arial" w:cs="Arial" w:eastAsia="Arial" w:hAnsi="Arial"/>
          <w:sz w:val="18"/>
          <w:szCs w:val="18"/>
          <w:color w:val="auto"/>
        </w:rPr>
        <w:t>Tenant’s expense; workers’ compensation insurance with no less than the minimum limits required by law; employer’s liability insurance with</w:t>
      </w:r>
    </w:p>
    <w:p>
      <w:pPr>
        <w:spacing w:after="0" w:line="235" w:lineRule="auto"/>
        <w:rPr>
          <w:sz w:val="20"/>
          <w:szCs w:val="20"/>
          <w:color w:val="auto"/>
        </w:rPr>
      </w:pPr>
      <w:r>
        <w:rPr>
          <w:rFonts w:ascii="Arial" w:cs="Arial" w:eastAsia="Arial" w:hAnsi="Arial"/>
          <w:sz w:val="18"/>
          <w:szCs w:val="18"/>
          <w:color w:val="auto"/>
        </w:rPr>
        <w:t>employers liability limits of $1,000,000 bodily injury by accident – each accident, $1,000,000 bodily injury by disease – policy limit, and</w:t>
      </w:r>
    </w:p>
    <w:p>
      <w:pPr>
        <w:spacing w:after="0" w:line="235" w:lineRule="auto"/>
        <w:rPr>
          <w:sz w:val="20"/>
          <w:szCs w:val="20"/>
          <w:color w:val="auto"/>
        </w:rPr>
      </w:pPr>
      <w:r>
        <w:rPr>
          <w:rFonts w:ascii="Arial" w:cs="Arial" w:eastAsia="Arial" w:hAnsi="Arial"/>
          <w:sz w:val="18"/>
          <w:szCs w:val="18"/>
          <w:color w:val="auto"/>
        </w:rPr>
        <w:t>$1,000,000 bodily injury by disease – each employee; and commercial general liability insurance, with a minimum limit of not less than</w:t>
      </w:r>
    </w:p>
    <w:p>
      <w:pPr>
        <w:spacing w:after="0" w:line="235" w:lineRule="auto"/>
        <w:rPr>
          <w:sz w:val="20"/>
          <w:szCs w:val="20"/>
          <w:color w:val="auto"/>
        </w:rPr>
      </w:pPr>
      <w:r>
        <w:rPr>
          <w:rFonts w:ascii="Arial" w:cs="Arial" w:eastAsia="Arial" w:hAnsi="Arial"/>
          <w:sz w:val="18"/>
          <w:szCs w:val="18"/>
          <w:color w:val="auto"/>
        </w:rPr>
        <w:t>$2,000,000 per occurrence for bodily injury and property damage with respect to the Premises. The commercial general liability insurance</w:t>
      </w:r>
    </w:p>
    <w:p>
      <w:pPr>
        <w:spacing w:after="0" w:line="234" w:lineRule="auto"/>
        <w:rPr>
          <w:sz w:val="20"/>
          <w:szCs w:val="20"/>
          <w:color w:val="auto"/>
        </w:rPr>
      </w:pPr>
      <w:r>
        <w:rPr>
          <w:rFonts w:ascii="Arial" w:cs="Arial" w:eastAsia="Arial" w:hAnsi="Arial"/>
          <w:sz w:val="18"/>
          <w:szCs w:val="18"/>
          <w:color w:val="auto"/>
        </w:rPr>
        <w:t>maintained by Tenant shall name Alexandria Real Estate Equities, Inc. and Landlord, its officers, directors, employees, managers, agents,</w:t>
      </w:r>
    </w:p>
    <w:p>
      <w:pPr>
        <w:spacing w:after="0" w:line="235" w:lineRule="auto"/>
        <w:rPr>
          <w:sz w:val="20"/>
          <w:szCs w:val="20"/>
          <w:color w:val="auto"/>
        </w:rPr>
      </w:pPr>
      <w:r>
        <w:rPr>
          <w:rFonts w:ascii="Arial" w:cs="Arial" w:eastAsia="Arial" w:hAnsi="Arial"/>
          <w:sz w:val="18"/>
          <w:szCs w:val="18"/>
          <w:color w:val="auto"/>
        </w:rPr>
        <w:t>sub-agents, constituent entities, joint venture partners and lease signators (collectively, “</w:t>
      </w:r>
      <w:r>
        <w:rPr>
          <w:rFonts w:ascii="Arial" w:cs="Arial" w:eastAsia="Arial" w:hAnsi="Arial"/>
          <w:sz w:val="18"/>
          <w:szCs w:val="18"/>
          <w:b w:val="1"/>
          <w:bCs w:val="1"/>
          <w:color w:val="auto"/>
        </w:rPr>
        <w:t>Landlord Insured Parties</w:t>
      </w:r>
      <w:r>
        <w:rPr>
          <w:rFonts w:ascii="Arial" w:cs="Arial" w:eastAsia="Arial" w:hAnsi="Arial"/>
          <w:sz w:val="18"/>
          <w:szCs w:val="18"/>
          <w:color w:val="auto"/>
        </w:rPr>
        <w:t>”), as additional insureds;</w:t>
      </w:r>
    </w:p>
    <w:p>
      <w:pPr>
        <w:spacing w:after="0" w:line="235" w:lineRule="auto"/>
        <w:rPr>
          <w:sz w:val="20"/>
          <w:szCs w:val="20"/>
          <w:color w:val="auto"/>
        </w:rPr>
      </w:pPr>
      <w:r>
        <w:rPr>
          <w:rFonts w:ascii="Arial" w:cs="Arial" w:eastAsia="Arial" w:hAnsi="Arial"/>
          <w:sz w:val="18"/>
          <w:szCs w:val="18"/>
          <w:color w:val="auto"/>
        </w:rPr>
        <w:t>insure on an occurrence and not a claims-made basis; be issued by insurance companies which have a rating of not less than policyholder</w:t>
      </w:r>
    </w:p>
    <w:p>
      <w:pPr>
        <w:spacing w:after="0" w:line="235" w:lineRule="auto"/>
        <w:rPr>
          <w:sz w:val="20"/>
          <w:szCs w:val="20"/>
          <w:color w:val="auto"/>
        </w:rPr>
      </w:pPr>
      <w:r>
        <w:rPr>
          <w:rFonts w:ascii="Arial" w:cs="Arial" w:eastAsia="Arial" w:hAnsi="Arial"/>
          <w:sz w:val="18"/>
          <w:szCs w:val="18"/>
          <w:color w:val="auto"/>
        </w:rPr>
        <w:t>rating of A and financial category rating of at least Class X in “Best’s Insurance Guide”; not contain a hostile fire exclusion; contain a</w:t>
      </w:r>
    </w:p>
    <w:p>
      <w:pPr>
        <w:spacing w:after="0" w:line="235" w:lineRule="auto"/>
        <w:rPr>
          <w:sz w:val="20"/>
          <w:szCs w:val="20"/>
          <w:color w:val="auto"/>
        </w:rPr>
      </w:pPr>
      <w:r>
        <w:rPr>
          <w:rFonts w:ascii="Arial" w:cs="Arial" w:eastAsia="Arial" w:hAnsi="Arial"/>
          <w:sz w:val="18"/>
          <w:szCs w:val="18"/>
          <w:color w:val="auto"/>
        </w:rPr>
        <w:t>contractual liability endorsement; and provide primary coverage to Landlord Insured Parties (any policy issued to Landlord Insured Parties</w:t>
      </w:r>
    </w:p>
    <w:p>
      <w:pPr>
        <w:spacing w:after="0" w:line="234" w:lineRule="auto"/>
        <w:rPr>
          <w:sz w:val="20"/>
          <w:szCs w:val="20"/>
          <w:color w:val="auto"/>
        </w:rPr>
      </w:pPr>
      <w:r>
        <w:rPr>
          <w:rFonts w:ascii="Arial" w:cs="Arial" w:eastAsia="Arial" w:hAnsi="Arial"/>
          <w:sz w:val="18"/>
          <w:szCs w:val="18"/>
          <w:color w:val="auto"/>
        </w:rPr>
        <w:t>providing duplicate or similar coverage shall be deemed excess over Tenant’s policies, regardless of limits). Tenant shall (i) provide Landlord</w:t>
      </w:r>
    </w:p>
    <w:p>
      <w:pPr>
        <w:spacing w:after="0" w:line="235" w:lineRule="auto"/>
        <w:rPr>
          <w:sz w:val="20"/>
          <w:szCs w:val="20"/>
          <w:color w:val="auto"/>
        </w:rPr>
      </w:pPr>
      <w:r>
        <w:rPr>
          <w:rFonts w:ascii="Arial" w:cs="Arial" w:eastAsia="Arial" w:hAnsi="Arial"/>
          <w:sz w:val="18"/>
          <w:szCs w:val="18"/>
          <w:color w:val="auto"/>
        </w:rPr>
        <w:t>with 30 days advance written notice of cancellation of such commercial general liability policy, and (ii) request Tenant’s insurer to endeavor to</w:t>
      </w:r>
    </w:p>
    <w:p>
      <w:pPr>
        <w:spacing w:after="0" w:line="235" w:lineRule="auto"/>
        <w:rPr>
          <w:sz w:val="20"/>
          <w:szCs w:val="20"/>
          <w:color w:val="auto"/>
        </w:rPr>
      </w:pPr>
      <w:r>
        <w:rPr>
          <w:rFonts w:ascii="Arial" w:cs="Arial" w:eastAsia="Arial" w:hAnsi="Arial"/>
          <w:sz w:val="18"/>
          <w:szCs w:val="18"/>
          <w:color w:val="auto"/>
        </w:rPr>
        <w:t>provide 30 days advance written notice to Landlord of cancellation of such commercial general liability policy (or 10 days in the event of a</w:t>
      </w:r>
    </w:p>
    <w:p>
      <w:pPr>
        <w:spacing w:after="0" w:line="235" w:lineRule="auto"/>
        <w:rPr>
          <w:sz w:val="20"/>
          <w:szCs w:val="20"/>
          <w:color w:val="auto"/>
        </w:rPr>
      </w:pPr>
      <w:r>
        <w:rPr>
          <w:rFonts w:ascii="Arial" w:cs="Arial" w:eastAsia="Arial" w:hAnsi="Arial"/>
          <w:sz w:val="18"/>
          <w:szCs w:val="18"/>
          <w:color w:val="auto"/>
        </w:rPr>
        <w:t>cancellation due to non-payment of premium). Certificates of insurance showing the limits of coverage required hereunder and showing</w:t>
      </w:r>
    </w:p>
    <w:p>
      <w:pPr>
        <w:spacing w:after="0" w:line="235" w:lineRule="auto"/>
        <w:rPr>
          <w:sz w:val="20"/>
          <w:szCs w:val="20"/>
          <w:color w:val="auto"/>
        </w:rPr>
      </w:pPr>
      <w:r>
        <w:rPr>
          <w:rFonts w:ascii="Arial" w:cs="Arial" w:eastAsia="Arial" w:hAnsi="Arial"/>
          <w:sz w:val="18"/>
          <w:szCs w:val="18"/>
          <w:color w:val="auto"/>
        </w:rPr>
        <w:t>Landlord as an additional insured, along with reasonable evidence of the payment of premiums for the applicable period, shall be delivered to</w:t>
      </w:r>
    </w:p>
    <w:p>
      <w:pPr>
        <w:spacing w:after="0"/>
        <w:rPr>
          <w:sz w:val="20"/>
          <w:szCs w:val="20"/>
          <w:color w:val="auto"/>
        </w:rPr>
      </w:pPr>
      <w:r>
        <w:rPr>
          <w:rFonts w:ascii="Arial" w:cs="Arial" w:eastAsia="Arial" w:hAnsi="Arial"/>
          <w:sz w:val="17"/>
          <w:szCs w:val="17"/>
          <w:color w:val="auto"/>
        </w:rPr>
        <w:t>Landlord by Tenant (i) concurrent with Tenant’s delivery to Landlord of a copy of this Lease executed by Tenant, and (ii) prior to each renewal</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of said insurance. Tenant’s policy may be a “blanket policy” with an aggregate per location endorsement which specifically provides that the</w:t>
      </w:r>
    </w:p>
    <w:p>
      <w:pPr>
        <w:spacing w:after="0"/>
        <w:rPr>
          <w:sz w:val="20"/>
          <w:szCs w:val="20"/>
          <w:color w:val="auto"/>
        </w:rPr>
      </w:pPr>
      <w:r>
        <w:rPr>
          <w:rFonts w:ascii="Arial" w:cs="Arial" w:eastAsia="Arial" w:hAnsi="Arial"/>
          <w:sz w:val="18"/>
          <w:szCs w:val="18"/>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70" w:name="page171"/>
    <w:bookmarkEnd w:id="170"/>
    <w:p>
      <w:pPr>
        <w:ind w:right="660"/>
        <w:spacing w:after="0" w:line="246" w:lineRule="auto"/>
        <w:rPr>
          <w:sz w:val="20"/>
          <w:szCs w:val="20"/>
          <w:color w:val="auto"/>
        </w:rPr>
      </w:pPr>
      <w:r>
        <w:rPr>
          <w:rFonts w:ascii="Arial" w:cs="Arial" w:eastAsia="Arial" w:hAnsi="Arial"/>
          <w:sz w:val="18"/>
          <w:szCs w:val="18"/>
          <w:color w:val="auto"/>
        </w:rPr>
        <w:t>of insurance shall not be prejudiced by other losses covered by the policy. Tenant shall, at least 5 days prior to the expiration of such policies, furnish Landlord with renewal certificates.</w:t>
      </w:r>
    </w:p>
    <w:p>
      <w:pPr>
        <w:spacing w:after="0" w:line="197"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In each instance where insurance is to name Landlord as an additional insured, Tenant shall upon written request of Landlord also designate and furnish certificates so evidencing Landlord as additional insured to: (i) any lender of Landlord holding a security interest in the Project or any portion thereof, (ii) the landlord under any lease wherein Landlord is tenant of the real property on which the Project is located, if the interest of Landlord is or shall become that of a tenant under a ground or other underlying lease rather than that of a fee owner, and/or (iii) any management company retained by Landlord to manage the Project.</w:t>
      </w:r>
    </w:p>
    <w:p>
      <w:pPr>
        <w:spacing w:after="0" w:line="202"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property insurance obtained by Landlord and Tenant shall include a waiver of subrogation by the insurers and all rights based upon an assignment from its insured, against Landlord or Tenant, and their respective officers, directors, employees, managers, agents, invitees and contractors (“</w:t>
      </w:r>
      <w:r>
        <w:rPr>
          <w:rFonts w:ascii="Arial" w:cs="Arial" w:eastAsia="Arial" w:hAnsi="Arial"/>
          <w:sz w:val="18"/>
          <w:szCs w:val="18"/>
          <w:b w:val="1"/>
          <w:bCs w:val="1"/>
          <w:color w:val="auto"/>
        </w:rPr>
        <w:t>Related Parties</w:t>
      </w:r>
      <w:r>
        <w:rPr>
          <w:rFonts w:ascii="Arial" w:cs="Arial" w:eastAsia="Arial" w:hAnsi="Arial"/>
          <w:sz w:val="18"/>
          <w:szCs w:val="18"/>
          <w:color w:val="auto"/>
        </w:rPr>
        <w:t>”), in connection with any loss or damage thereby insured against. Neither party nor its respective Related Parties shall be liable to the other for loss or damage caused by any risk insured against under property insurance required to be maintained hereunder, and each party waives any claims against the other party, and its respective Related Parties, for such loss or damage. The failure of a party to insure its property shall not void this waiver. Landlord and its respective Related Parties shall not be liable for, and Tenant hereby waives all claims against such parties for, business interruption and losses occasioned thereby sustained by Tenant or any person claiming through Tenant resulting from any accident or occurrence in or upon the Premises or the Project from any cause whatsoever. If the foregoing waivers shall contravene any law with respect to exculpatory agreements, the liability of Landlord or Tenant shall be deemed not released but shall be secondary to the other’s insurer.</w:t>
      </w:r>
    </w:p>
    <w:p>
      <w:pPr>
        <w:spacing w:after="0" w:line="206"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Landlord may require insurance policy limits to be raised to conform with requirements of Landlord’s lender and/or to bring coverage limits to levels then being generally required of new tenants within the Project; provided, however, that the increased amount of coverage is consistent with coverage amounts then being required by institutional owners of similar projects with tenants occupying similar size premises in the geographical area in which the Project is located.</w:t>
      </w:r>
    </w:p>
    <w:p>
      <w:pPr>
        <w:spacing w:after="0" w:line="183" w:lineRule="exact"/>
        <w:rPr>
          <w:sz w:val="20"/>
          <w:szCs w:val="20"/>
          <w:color w:val="auto"/>
        </w:rPr>
      </w:pPr>
    </w:p>
    <w:p>
      <w:pPr>
        <w:ind w:firstLine="8"/>
        <w:spacing w:after="0" w:line="237" w:lineRule="auto"/>
        <w:tabs>
          <w:tab w:leader="none" w:pos="30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Restoration</w:t>
      </w:r>
      <w:r>
        <w:rPr>
          <w:rFonts w:ascii="Arial" w:cs="Arial" w:eastAsia="Arial" w:hAnsi="Arial"/>
          <w:sz w:val="18"/>
          <w:szCs w:val="18"/>
          <w:color w:val="auto"/>
        </w:rPr>
        <w:t>. If, at any time during the Term, the Project or the Premises are damaged or destroyed by a fire or other insured casualty,</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shall notify Tenant within 60 days after discovery of such damage as to the amount of time Landlord reasonably estimates it will take to restore the Project or the Premises, as applicable (the “</w:t>
      </w:r>
      <w:r>
        <w:rPr>
          <w:rFonts w:ascii="Arial" w:cs="Arial" w:eastAsia="Arial" w:hAnsi="Arial"/>
          <w:sz w:val="18"/>
          <w:szCs w:val="18"/>
          <w:b w:val="1"/>
          <w:bCs w:val="1"/>
          <w:color w:val="auto"/>
        </w:rPr>
        <w:t>Restoration Period</w:t>
      </w:r>
      <w:r>
        <w:rPr>
          <w:rFonts w:ascii="Arial" w:cs="Arial" w:eastAsia="Arial" w:hAnsi="Arial"/>
          <w:sz w:val="18"/>
          <w:szCs w:val="18"/>
          <w:color w:val="auto"/>
        </w:rPr>
        <w:t>”). If the Restoration Period is estimated to exceed 12 months (the “</w:t>
      </w:r>
      <w:r>
        <w:rPr>
          <w:rFonts w:ascii="Arial" w:cs="Arial" w:eastAsia="Arial" w:hAnsi="Arial"/>
          <w:sz w:val="18"/>
          <w:szCs w:val="18"/>
          <w:b w:val="1"/>
          <w:bCs w:val="1"/>
          <w:color w:val="auto"/>
        </w:rPr>
        <w:t>Maximum Restoration Period</w:t>
      </w:r>
      <w:r>
        <w:rPr>
          <w:rFonts w:ascii="Arial" w:cs="Arial" w:eastAsia="Arial" w:hAnsi="Arial"/>
          <w:sz w:val="18"/>
          <w:szCs w:val="18"/>
          <w:color w:val="auto"/>
        </w:rPr>
        <w:t xml:space="preserve">”), Landlord may, in such notice, elect to terminate this Lease as of the date that is 75 days after the date of discovery of such damage or destruction;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notwithstanding Landlord’s election to restore, Tenant may elect to terminate this Lease by written notice to Landlord delivered within 5 business days of receipt of a notice from Landlord estimating a Restoration Period for the Premises longer than the Maximum Restoration Period. Unless either Landlord or Tenant so elects to terminate this Lease, Landlord shall, subject to receipt of sufficient insurance proceeds (with any deductible to be treated as a current Operating Expense), promptly restore the Premises (excluding the improvements installed by Tenant or by Landlord and paid for by Tenant), subject to delays arising from the collection of insurance proceeds, from Force Majeure events;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repair or restoration of the Premises is not substantially complete as of the end of the Maximum Restoration Period or, if longer, the Restoration Period, Landlord may, in its sole and absolute discretion, elect not to proceed with such repair and restoration, or Tenant may by written notice to Landlord delivered within 5 business days of the expiration of the Maximum Restoration Period or, if longer, the Restoration Period, elect to terminate this Lease, in which event Landlord shall be relieved of its obligation to make such repairs or restoration and this Lease shall terminate as of the date that is 75 days after discovery of such damage or destruction, but Landlord shall retain any Rent paid and the right to any Rent payable by Tenant prior to such termination by Landlord or Tenant.</w:t>
      </w:r>
    </w:p>
    <w:p>
      <w:pPr>
        <w:spacing w:after="0" w:line="208"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 xml:space="preserve">Tenant, at its expense, shall promptly perform, subject to delays arising from the collection of insurance proceeds, from Force Majeure events, all repairs or restoration not required to be done by Landlord and shall promptly re-enter the Premises and commence doing business in accordance with this Lease. Notwithstanding the foregoing, either Landlord or Tenant may terminate this Lease upon written notice to the other if the Premises are damaged during the last 12 months of the Term and Landlord reasonably estimates that it will take more than 2 months to repair such damage; provided, however, that such notice is delivered within 10 business days after the date that Landlord provides Tenant with written notice of the estimated Restoration Period. Notwithstanding anything to the contrary contained herein, Landlord shall also have the right to terminate this Lease if insurance proceeds are not available for such restoration. Rent shall be abated from the date of discovery of the damage or destruction until the Premises are repaired and restored, in the proportion which the area of the Premises, if any, which is not usable by Tenant bears to the total area of the Premises, unless Landlord provides Tenant with other space during the period of repair that is suitable for the temporary conduct of Tenant’s business. Such abatement shall be the sole remedy of Tenant, and except as provided in this </w:t>
      </w:r>
      <w:r>
        <w:rPr>
          <w:rFonts w:ascii="Arial" w:cs="Arial" w:eastAsia="Arial" w:hAnsi="Arial"/>
          <w:sz w:val="18"/>
          <w:szCs w:val="18"/>
          <w:u w:val="single" w:color="auto"/>
          <w:color w:val="auto"/>
        </w:rPr>
        <w:t>Section 18</w:t>
      </w:r>
      <w:r>
        <w:rPr>
          <w:rFonts w:ascii="Arial" w:cs="Arial" w:eastAsia="Arial" w:hAnsi="Arial"/>
          <w:sz w:val="18"/>
          <w:szCs w:val="18"/>
          <w:color w:val="auto"/>
        </w:rPr>
        <w:t>, Tenant waives any right to terminate this Lease by reason of damage or casualty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71" w:name="page172"/>
    <w:bookmarkEnd w:id="171"/>
    <w:p>
      <w:pPr>
        <w:ind w:right="100" w:firstLine="509"/>
        <w:spacing w:after="0" w:line="238" w:lineRule="auto"/>
        <w:rPr>
          <w:sz w:val="20"/>
          <w:szCs w:val="20"/>
          <w:color w:val="auto"/>
        </w:rPr>
      </w:pPr>
      <w:r>
        <w:rPr>
          <w:rFonts w:ascii="Arial" w:cs="Arial" w:eastAsia="Arial" w:hAnsi="Arial"/>
          <w:sz w:val="18"/>
          <w:szCs w:val="18"/>
          <w:color w:val="auto"/>
        </w:rPr>
        <w:t xml:space="preserve">The provisions of this Lease, including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constitute an express agreement between Landlord and Tenant with respect to any and all damage to, or destruction of, all or any part of the Premises, or any other portion of the Project, and any statute or regulation which is now or may hereafter be in effect shall have no application to this Lease or any damage or destruction to all or any part of the Premises or any other portion of the Project, the parties hereto expressly agreeing that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sets forth their entire understanding and agreement with respect to such matters.</w:t>
      </w:r>
    </w:p>
    <w:p>
      <w:pPr>
        <w:spacing w:after="0" w:line="180" w:lineRule="exact"/>
        <w:rPr>
          <w:sz w:val="20"/>
          <w:szCs w:val="20"/>
          <w:color w:val="auto"/>
        </w:rPr>
      </w:pPr>
    </w:p>
    <w:p>
      <w:pPr>
        <w:ind w:right="40" w:firstLine="8"/>
        <w:spacing w:after="0" w:line="237" w:lineRule="auto"/>
        <w:tabs>
          <w:tab w:leader="none" w:pos="30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Condemnation</w:t>
      </w:r>
      <w:r>
        <w:rPr>
          <w:rFonts w:ascii="Arial" w:cs="Arial" w:eastAsia="Arial" w:hAnsi="Arial"/>
          <w:sz w:val="18"/>
          <w:szCs w:val="18"/>
          <w:color w:val="auto"/>
        </w:rPr>
        <w:t>. If the whole or any material part of the Premises or the Project is taken for any public or quasi-public use under</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law, ordinance, or regulation, or by right of eminent domain, or by private purchase in lieu thereof (a “</w:t>
      </w:r>
      <w:r>
        <w:rPr>
          <w:rFonts w:ascii="Arial" w:cs="Arial" w:eastAsia="Arial" w:hAnsi="Arial"/>
          <w:sz w:val="18"/>
          <w:szCs w:val="18"/>
          <w:b w:val="1"/>
          <w:bCs w:val="1"/>
          <w:color w:val="auto"/>
        </w:rPr>
        <w:t>Taking</w:t>
      </w:r>
      <w:r>
        <w:rPr>
          <w:rFonts w:ascii="Arial" w:cs="Arial" w:eastAsia="Arial" w:hAnsi="Arial"/>
          <w:sz w:val="18"/>
          <w:szCs w:val="18"/>
          <w:color w:val="auto"/>
        </w:rPr>
        <w:t>” or “</w:t>
      </w:r>
      <w:r>
        <w:rPr>
          <w:rFonts w:ascii="Arial" w:cs="Arial" w:eastAsia="Arial" w:hAnsi="Arial"/>
          <w:sz w:val="18"/>
          <w:szCs w:val="18"/>
          <w:b w:val="1"/>
          <w:bCs w:val="1"/>
          <w:color w:val="auto"/>
        </w:rPr>
        <w:t>Taken</w:t>
      </w:r>
      <w:r>
        <w:rPr>
          <w:rFonts w:ascii="Arial" w:cs="Arial" w:eastAsia="Arial" w:hAnsi="Arial"/>
          <w:sz w:val="18"/>
          <w:szCs w:val="18"/>
          <w:color w:val="auto"/>
        </w:rPr>
        <w:t>”), and the Taking would in Landlord’s reasonable judgment, either prevent or materially interfere with Tenant’s use of the Premises or materially interfere with or impair Landlord’s ownership or operation of the Project, then upon written notice by Landlord this Lease shall terminate and Rent shall be apportioned as of said date. If part of the Premises shall be Taken, and this Lease is not terminated as provided above, Landlord shall promptly restore the Premises and the Project as nearly as is commercially reasonable under the circumstances to their condition prior to such partial Taking and the rentable square footage of the Building, the rentable square footage of the Premises, Tenant’s Share of Excess Operating Expenses and the Rent payable hereunder during the unexpired Term shall be reduced to such extent as may be fair and reasonable under the circumstances. Upon any such Taking, Landlord shall be entitled to receive the entire price or award from any such Taking without any payment to Tenant, and Tenant hereby assigns to Landlord Tenant’s interest, if any, in such award. Tenant shall have the right, to the extent that same shall not diminish Landlord’s award, to make a separate claim against the condemning authority (but not Landlord) for such compensation as may be separately awarded or recoverable by Tenant for moving expenses and damage to Tenant’s trade fixtures, if a separate award for such items is made to Tenant. Tenant hereby waives any and all rights it might otherwise have pursuant to any provision of state law to terminate this Lease upon a partial Taking of the Premises or the Project.</w:t>
      </w:r>
    </w:p>
    <w:p>
      <w:pPr>
        <w:spacing w:after="0" w:line="189" w:lineRule="exact"/>
        <w:rPr>
          <w:rFonts w:ascii="Arial" w:cs="Arial" w:eastAsia="Arial" w:hAnsi="Arial"/>
          <w:sz w:val="18"/>
          <w:szCs w:val="18"/>
          <w:color w:val="auto"/>
        </w:rPr>
      </w:pPr>
    </w:p>
    <w:p>
      <w:pPr>
        <w:ind w:left="300" w:hanging="292"/>
        <w:spacing w:after="0"/>
        <w:tabs>
          <w:tab w:leader="none" w:pos="30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Events of Default</w:t>
      </w:r>
      <w:r>
        <w:rPr>
          <w:rFonts w:ascii="Arial" w:cs="Arial" w:eastAsia="Arial" w:hAnsi="Arial"/>
          <w:sz w:val="18"/>
          <w:szCs w:val="18"/>
          <w:color w:val="auto"/>
        </w:rPr>
        <w:t>. Each of the following events shall be a default (“</w:t>
      </w:r>
      <w:r>
        <w:rPr>
          <w:rFonts w:ascii="Arial" w:cs="Arial" w:eastAsia="Arial" w:hAnsi="Arial"/>
          <w:sz w:val="18"/>
          <w:szCs w:val="18"/>
          <w:b w:val="1"/>
          <w:bCs w:val="1"/>
          <w:color w:val="auto"/>
        </w:rPr>
        <w:t>Default</w:t>
      </w:r>
      <w:r>
        <w:rPr>
          <w:rFonts w:ascii="Arial" w:cs="Arial" w:eastAsia="Arial" w:hAnsi="Arial"/>
          <w:sz w:val="18"/>
          <w:szCs w:val="18"/>
          <w:color w:val="auto"/>
        </w:rPr>
        <w:t>”) by Tenant under this Lease:</w:t>
      </w:r>
    </w:p>
    <w:p>
      <w:pPr>
        <w:spacing w:after="0" w:line="21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Payment Defaults</w:t>
      </w:r>
      <w:r>
        <w:rPr>
          <w:rFonts w:ascii="Arial" w:cs="Arial" w:eastAsia="Arial" w:hAnsi="Arial"/>
          <w:sz w:val="18"/>
          <w:szCs w:val="18"/>
          <w:color w:val="auto"/>
        </w:rPr>
        <w:t>. Tenant shall fail to pay any installment of Rent or any other payment hereunder when due; provided, however, that Landlord will give Tenant notice and an opportunity to cure any failure to pay Rent within 3 days of any such notice not more than once in any 12 month period and Tenant agrees that such notice shall be in lieu of and not in addition to, or shall be deemed to be, any notice required by law.</w:t>
      </w:r>
    </w:p>
    <w:p>
      <w:pPr>
        <w:spacing w:after="0" w:line="1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Insurance</w:t>
      </w:r>
      <w:r>
        <w:rPr>
          <w:rFonts w:ascii="Arial" w:cs="Arial" w:eastAsia="Arial" w:hAnsi="Arial"/>
          <w:sz w:val="18"/>
          <w:szCs w:val="18"/>
          <w:color w:val="auto"/>
        </w:rPr>
        <w:t>. Any insurance required to be maintained by Tenant pursuant to this Lease shall be canceled or terminated or shall expire or shall be reduced or materially changed, or Landlord shall receive a notice of nonrenewal of any such insurance and Tenant shall fail to obtain replacement insurance before the expiration of the current coverage.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Abandonment</w:t>
      </w:r>
      <w:r>
        <w:rPr>
          <w:rFonts w:ascii="Arial" w:cs="Arial" w:eastAsia="Arial" w:hAnsi="Arial"/>
          <w:sz w:val="18"/>
          <w:szCs w:val="18"/>
          <w:color w:val="auto"/>
        </w:rPr>
        <w:t>. Tenant shall abandon the Premises.</w:t>
      </w: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color w:val="auto"/>
        </w:rPr>
        <w:t>Improper Transfer</w:t>
      </w:r>
      <w:r>
        <w:rPr>
          <w:rFonts w:ascii="Arial" w:cs="Arial" w:eastAsia="Arial" w:hAnsi="Arial"/>
          <w:sz w:val="18"/>
          <w:szCs w:val="18"/>
          <w:color w:val="auto"/>
        </w:rPr>
        <w:t>. Tenant shall assign, sublease or otherwise transfer or attempt to transfer all or any portion of Tenant’s interest in this Lease or the Premises except as expressly permitted herein, or Tenant’s interest in this Lease shall be attached, executed upon, or otherwise judicially seized and such action is not released within 90 days of the action.</w:t>
      </w:r>
    </w:p>
    <w:p>
      <w:pPr>
        <w:spacing w:after="0" w:line="16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color w:val="auto"/>
        </w:rPr>
        <w:t>Liens</w:t>
      </w:r>
      <w:r>
        <w:rPr>
          <w:rFonts w:ascii="Arial" w:cs="Arial" w:eastAsia="Arial" w:hAnsi="Arial"/>
          <w:sz w:val="18"/>
          <w:szCs w:val="18"/>
          <w:color w:val="auto"/>
        </w:rPr>
        <w:t>. Tenant shall fail to discharge or otherwise obtain the release of any lien placed upon the Premises in violation of this Lease within 10 days after any such lien is filed against the Premises.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color w:val="auto"/>
        </w:rPr>
        <w:t>Insolvency Events</w:t>
      </w:r>
      <w:r>
        <w:rPr>
          <w:rFonts w:ascii="Arial" w:cs="Arial" w:eastAsia="Arial" w:hAnsi="Arial"/>
          <w:sz w:val="18"/>
          <w:szCs w:val="18"/>
          <w:color w:val="auto"/>
        </w:rPr>
        <w:t>. Tenant or any guarantor or surety of Tenant’s obligations hereunder shall: (A) make a general assignment for the benefit of creditors; (B) commence any case, proceeding or other action seeking to have an order for relief entered on its behalf as a debtor or to adjudicate it a bankrupt or insolvent, or seeking reorganization, arrangement, adjustment, liquidation, dissolution or composition of it or its debts or seeking appointment of a receiver, trustee, custodian or other similar official for it or for all or of any substantial part of its property (collectively a “</w:t>
      </w:r>
      <w:r>
        <w:rPr>
          <w:rFonts w:ascii="Arial" w:cs="Arial" w:eastAsia="Arial" w:hAnsi="Arial"/>
          <w:sz w:val="18"/>
          <w:szCs w:val="18"/>
          <w:b w:val="1"/>
          <w:bCs w:val="1"/>
          <w:color w:val="auto"/>
        </w:rPr>
        <w:t>Proceeding for Relief</w:t>
      </w:r>
      <w:r>
        <w:rPr>
          <w:rFonts w:ascii="Arial" w:cs="Arial" w:eastAsia="Arial" w:hAnsi="Arial"/>
          <w:sz w:val="18"/>
          <w:szCs w:val="18"/>
          <w:color w:val="auto"/>
        </w:rPr>
        <w:t>”); (C) become the subject of any Proceeding for Relief which is not dismissed within 90 days of its filing or entry; or (D) die or suffer a legal disability (if Tenant, guarantor, or surety is an individual) or be dissolved or otherwise fail to maintain its legal existence (if Tenant, guarantor or surety is a corporation, partnership or other entity).</w:t>
      </w:r>
    </w:p>
    <w:p>
      <w:pPr>
        <w:spacing w:after="0" w:line="18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b w:val="1"/>
          <w:bCs w:val="1"/>
          <w:color w:val="auto"/>
        </w:rPr>
        <w:t>Estoppel Certificate or Subordination Agreement</w:t>
      </w:r>
      <w:r>
        <w:rPr>
          <w:rFonts w:ascii="Arial" w:cs="Arial" w:eastAsia="Arial" w:hAnsi="Arial"/>
          <w:sz w:val="18"/>
          <w:szCs w:val="18"/>
          <w:color w:val="auto"/>
        </w:rPr>
        <w:t xml:space="preserve">. Tenant fails to execute any document required from Tenant under </w:t>
      </w:r>
      <w:r>
        <w:rPr>
          <w:rFonts w:ascii="Arial" w:cs="Arial" w:eastAsia="Arial" w:hAnsi="Arial"/>
          <w:sz w:val="18"/>
          <w:szCs w:val="18"/>
          <w:u w:val="single" w:color="auto"/>
          <w:color w:val="auto"/>
        </w:rPr>
        <w:t>Sections 23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27</w:t>
      </w:r>
      <w:r>
        <w:rPr>
          <w:rFonts w:ascii="Arial" w:cs="Arial" w:eastAsia="Arial" w:hAnsi="Arial"/>
          <w:sz w:val="18"/>
          <w:szCs w:val="18"/>
          <w:color w:val="auto"/>
        </w:rPr>
        <w:t xml:space="preserve"> within 5 days after a second notice requesting such document.</w:t>
      </w:r>
    </w:p>
    <w:p>
      <w:pPr>
        <w:spacing w:after="0" w:line="15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b w:val="1"/>
          <w:bCs w:val="1"/>
          <w:color w:val="auto"/>
        </w:rPr>
        <w:t>Other Defaults</w:t>
      </w:r>
      <w:r>
        <w:rPr>
          <w:rFonts w:ascii="Arial" w:cs="Arial" w:eastAsia="Arial" w:hAnsi="Arial"/>
          <w:sz w:val="18"/>
          <w:szCs w:val="18"/>
          <w:color w:val="auto"/>
        </w:rPr>
        <w:t xml:space="preserve">. Tenant shall fail to comply with any provision of this Lease other than those specifically referred to in this </w:t>
      </w:r>
      <w:r>
        <w:rPr>
          <w:rFonts w:ascii="Arial" w:cs="Arial" w:eastAsia="Arial" w:hAnsi="Arial"/>
          <w:sz w:val="18"/>
          <w:szCs w:val="18"/>
          <w:u w:val="single" w:color="auto"/>
          <w:color w:val="auto"/>
        </w:rPr>
        <w:t>Section 20</w:t>
      </w:r>
      <w:r>
        <w:rPr>
          <w:rFonts w:ascii="Arial" w:cs="Arial" w:eastAsia="Arial" w:hAnsi="Arial"/>
          <w:sz w:val="18"/>
          <w:szCs w:val="18"/>
          <w:color w:val="auto"/>
        </w:rPr>
        <w:t>, and, except as otherwise expressly provided herein, such failure shall continue for a period of 30 days after written notice thereof from Landlord to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2" w:name="page173"/>
    <w:bookmarkEnd w:id="172"/>
    <w:p>
      <w:pPr>
        <w:ind w:right="20"/>
        <w:spacing w:after="0" w:line="237" w:lineRule="auto"/>
        <w:rPr>
          <w:sz w:val="20"/>
          <w:szCs w:val="20"/>
          <w:color w:val="auto"/>
        </w:rPr>
      </w:pPr>
      <w:r>
        <w:rPr>
          <w:rFonts w:ascii="Arial" w:cs="Arial" w:eastAsia="Arial" w:hAnsi="Arial"/>
          <w:sz w:val="18"/>
          <w:szCs w:val="18"/>
          <w:color w:val="auto"/>
        </w:rPr>
        <w:t xml:space="preserve">Any notice given under </w:t>
      </w:r>
      <w:r>
        <w:rPr>
          <w:rFonts w:ascii="Arial" w:cs="Arial" w:eastAsia="Arial" w:hAnsi="Arial"/>
          <w:sz w:val="18"/>
          <w:szCs w:val="18"/>
          <w:u w:val="single" w:color="auto"/>
          <w:color w:val="auto"/>
        </w:rPr>
        <w:t>Section 20(h)</w:t>
      </w:r>
      <w:r>
        <w:rPr>
          <w:rFonts w:ascii="Arial" w:cs="Arial" w:eastAsia="Arial" w:hAnsi="Arial"/>
          <w:sz w:val="18"/>
          <w:szCs w:val="18"/>
          <w:color w:val="auto"/>
        </w:rPr>
        <w:t xml:space="preserve"> hereof shall: (i) specify the alleged default, (ii) demand that Tenant cure such default, (iii) be in lieu of, and not in addition to, or shall be deemed to be, any notice required under any provision of applicable law, and (iv) not be deemed a forfeiture or a termination of this Lease unless Landlord elects otherwise in such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nature of Tenant’s default pursuant to </w:t>
      </w:r>
      <w:r>
        <w:rPr>
          <w:rFonts w:ascii="Arial" w:cs="Arial" w:eastAsia="Arial" w:hAnsi="Arial"/>
          <w:sz w:val="18"/>
          <w:szCs w:val="18"/>
          <w:u w:val="single" w:color="auto"/>
          <w:color w:val="auto"/>
        </w:rPr>
        <w:t>Section 20(h)</w:t>
      </w:r>
      <w:r>
        <w:rPr>
          <w:rFonts w:ascii="Arial" w:cs="Arial" w:eastAsia="Arial" w:hAnsi="Arial"/>
          <w:sz w:val="18"/>
          <w:szCs w:val="18"/>
          <w:color w:val="auto"/>
        </w:rPr>
        <w:t xml:space="preserve"> is such that it cannot be cured by the payment of money and reasonably requires more than 30 days to cure, then Tenant shall not be deemed to be in default if Tenant commences such cure within said 30 day period and thereafter diligently prosecutes the same to completion;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cure shall be completed no later than 60 days from the date of Landlord’s notice.</w:t>
      </w:r>
    </w:p>
    <w:p>
      <w:pPr>
        <w:spacing w:after="0" w:line="183" w:lineRule="exact"/>
        <w:rPr>
          <w:sz w:val="20"/>
          <w:szCs w:val="20"/>
          <w:color w:val="auto"/>
        </w:rPr>
      </w:pPr>
    </w:p>
    <w:p>
      <w:pPr>
        <w:ind w:left="300" w:hanging="292"/>
        <w:spacing w:after="0"/>
        <w:tabs>
          <w:tab w:leader="none" w:pos="30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Landlord’s Remedies</w:t>
      </w:r>
      <w:r>
        <w:rPr>
          <w:rFonts w:ascii="Arial" w:cs="Arial" w:eastAsia="Arial" w:hAnsi="Arial"/>
          <w:sz w:val="18"/>
          <w:szCs w:val="18"/>
          <w:color w:val="auto"/>
        </w:rPr>
        <w:t>.</w:t>
      </w:r>
    </w:p>
    <w:p>
      <w:pPr>
        <w:spacing w:after="0" w:line="212"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Payment By Landlord; Interest</w:t>
      </w:r>
      <w:r>
        <w:rPr>
          <w:rFonts w:ascii="Arial" w:cs="Arial" w:eastAsia="Arial" w:hAnsi="Arial"/>
          <w:sz w:val="18"/>
          <w:szCs w:val="18"/>
          <w:color w:val="auto"/>
        </w:rPr>
        <w:t>. Upon a Default by Tenant hereunder, Landlord may, without waiving or releasing any obligation of Tenant hereunder, make such payment or perform such act. All sums so paid or incurred by Landlord, together with interest thereon, from the date such sums were paid or incurred, at the annual rate equal to 12% per annum or the highest rate permitted by law (the “</w:t>
      </w:r>
      <w:r>
        <w:rPr>
          <w:rFonts w:ascii="Arial" w:cs="Arial" w:eastAsia="Arial" w:hAnsi="Arial"/>
          <w:sz w:val="18"/>
          <w:szCs w:val="18"/>
          <w:b w:val="1"/>
          <w:bCs w:val="1"/>
          <w:color w:val="auto"/>
        </w:rPr>
        <w:t>Default</w:t>
      </w:r>
      <w:r>
        <w:rPr>
          <w:rFonts w:ascii="Arial" w:cs="Arial" w:eastAsia="Arial" w:hAnsi="Arial"/>
          <w:sz w:val="18"/>
          <w:szCs w:val="18"/>
          <w:color w:val="auto"/>
        </w:rPr>
        <w:t xml:space="preserve"> </w:t>
      </w:r>
      <w:r>
        <w:rPr>
          <w:rFonts w:ascii="Arial" w:cs="Arial" w:eastAsia="Arial" w:hAnsi="Arial"/>
          <w:sz w:val="18"/>
          <w:szCs w:val="18"/>
          <w:b w:val="1"/>
          <w:bCs w:val="1"/>
          <w:color w:val="auto"/>
        </w:rPr>
        <w:t>Rate</w:t>
      </w:r>
      <w:r>
        <w:rPr>
          <w:rFonts w:ascii="Arial" w:cs="Arial" w:eastAsia="Arial" w:hAnsi="Arial"/>
          <w:sz w:val="18"/>
          <w:szCs w:val="18"/>
          <w:color w:val="auto"/>
        </w:rPr>
        <w:t>”), whichever is less, shall be payable to Landlord on demand as Additional Rent. Nothing herein shall be construed to create or impose</w:t>
      </w:r>
      <w:r>
        <w:rPr>
          <w:rFonts w:ascii="Arial" w:cs="Arial" w:eastAsia="Arial" w:hAnsi="Arial"/>
          <w:sz w:val="18"/>
          <w:szCs w:val="18"/>
          <w:b w:val="1"/>
          <w:bCs w:val="1"/>
          <w:color w:val="auto"/>
        </w:rPr>
        <w:t xml:space="preserve"> </w:t>
      </w:r>
      <w:r>
        <w:rPr>
          <w:rFonts w:ascii="Arial" w:cs="Arial" w:eastAsia="Arial" w:hAnsi="Arial"/>
          <w:sz w:val="18"/>
          <w:szCs w:val="18"/>
          <w:color w:val="auto"/>
        </w:rPr>
        <w:t>a duty on Landlord to mitigate any damages resulting from Tenant’s Default hereunder.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Late Payment Rent</w:t>
      </w:r>
      <w:r>
        <w:rPr>
          <w:rFonts w:ascii="Arial" w:cs="Arial" w:eastAsia="Arial" w:hAnsi="Arial"/>
          <w:sz w:val="18"/>
          <w:szCs w:val="18"/>
          <w:color w:val="auto"/>
        </w:rPr>
        <w:t>. Late payment by Tenant to Landlord of Rent and other sums due will cause Landlord to incur costs not contemplated by this Lease, the exact amount of which will be extremely difficult and impracticable to ascertain. Such costs include, but are not limited to, processing and accounting charges and late charges which may be imposed on Landlord under any Mortgage covering the Premises. Therefore, if any installment of Rent due from Tenant is not received by Landlord within 5 days after the date such payment is due, Tenant shall pay to Landlord an additional sum equal to 6% of the overdue Rent as a late charge. The parties agree that this late charge represents a fair and reasonable estimate of the costs Landlord will incur by reason of late payment by Tenant. In addition to the late charge, Rent not paid when due shall bear interest at the Default Rate from the 5th day after the date due until paid.</w:t>
      </w:r>
    </w:p>
    <w:p>
      <w:pPr>
        <w:spacing w:after="0" w:line="185"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Remedies</w:t>
      </w:r>
      <w:r>
        <w:rPr>
          <w:rFonts w:ascii="Arial" w:cs="Arial" w:eastAsia="Arial" w:hAnsi="Arial"/>
          <w:sz w:val="18"/>
          <w:szCs w:val="18"/>
          <w:color w:val="auto"/>
        </w:rPr>
        <w:t>. Upon the occurrence of a Default, Landlord, at its option, without further notice or demand to Tenant, shall have in addition to all other rights and remedies provided in this Lease, at law or in equity, the option to pursue any one or more of the following remedies, each and all of which shall be cumulative and nonexclusive, without any notice or demand whatsoever.</w:t>
      </w:r>
    </w:p>
    <w:p>
      <w:pPr>
        <w:spacing w:after="0" w:line="191"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 Terminate this Lease, or at Landlord’s option, Tenant’s right to possession only,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or damages therefor;</w:t>
      </w:r>
    </w:p>
    <w:p>
      <w:pPr>
        <w:spacing w:after="0" w:line="205" w:lineRule="exact"/>
        <w:rPr>
          <w:sz w:val="20"/>
          <w:szCs w:val="20"/>
          <w:color w:val="auto"/>
        </w:rPr>
      </w:pPr>
    </w:p>
    <w:p>
      <w:pPr>
        <w:ind w:right="40" w:firstLine="8"/>
        <w:spacing w:after="0" w:line="246" w:lineRule="auto"/>
        <w:tabs>
          <w:tab w:leader="none" w:pos="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Upon any termination of this Lease, whether pursuant to the foregoing </w:t>
      </w:r>
      <w:r>
        <w:rPr>
          <w:rFonts w:ascii="Arial" w:cs="Arial" w:eastAsia="Arial" w:hAnsi="Arial"/>
          <w:sz w:val="18"/>
          <w:szCs w:val="18"/>
          <w:u w:val="single" w:color="auto"/>
          <w:color w:val="auto"/>
        </w:rPr>
        <w:t>Section 21(c)(i)</w:t>
      </w:r>
      <w:r>
        <w:rPr>
          <w:rFonts w:ascii="Arial" w:cs="Arial" w:eastAsia="Arial" w:hAnsi="Arial"/>
          <w:sz w:val="18"/>
          <w:szCs w:val="18"/>
          <w:color w:val="auto"/>
        </w:rPr>
        <w:t xml:space="preserve"> or otherwise, Landlord may recover from Tenant the following:</w:t>
      </w:r>
    </w:p>
    <w:p>
      <w:pPr>
        <w:spacing w:after="0" w:line="197" w:lineRule="exact"/>
        <w:rPr>
          <w:sz w:val="20"/>
          <w:szCs w:val="20"/>
          <w:color w:val="auto"/>
        </w:rPr>
      </w:pPr>
    </w:p>
    <w:p>
      <w:pPr>
        <w:ind w:left="200" w:hanging="192"/>
        <w:spacing w:after="0"/>
        <w:tabs>
          <w:tab w:leader="none" w:pos="2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worth at the time of award of any unpaid rent which has been earned at the time of such termination; plus</w:t>
      </w:r>
    </w:p>
    <w:p>
      <w:pPr>
        <w:spacing w:after="0" w:line="211" w:lineRule="exact"/>
        <w:rPr>
          <w:rFonts w:ascii="Arial" w:cs="Arial" w:eastAsia="Arial" w:hAnsi="Arial"/>
          <w:sz w:val="18"/>
          <w:szCs w:val="18"/>
          <w:color w:val="auto"/>
        </w:rPr>
      </w:pPr>
    </w:p>
    <w:p>
      <w:pPr>
        <w:ind w:right="300" w:firstLine="8"/>
        <w:spacing w:after="0" w:line="246" w:lineRule="auto"/>
        <w:tabs>
          <w:tab w:leader="none" w:pos="2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196" w:lineRule="exact"/>
        <w:rPr>
          <w:rFonts w:ascii="Arial" w:cs="Arial" w:eastAsia="Arial" w:hAnsi="Arial"/>
          <w:sz w:val="18"/>
          <w:szCs w:val="18"/>
          <w:color w:val="auto"/>
        </w:rPr>
      </w:pPr>
    </w:p>
    <w:p>
      <w:pPr>
        <w:ind w:right="400" w:firstLine="8"/>
        <w:spacing w:after="0" w:line="246" w:lineRule="auto"/>
        <w:tabs>
          <w:tab w:leader="none" w:pos="2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for the balance of the Term after the time of award exceeds the amount of such rental loss that Tenant proves could have been reasonably avoided; plus</w:t>
      </w:r>
    </w:p>
    <w:p>
      <w:pPr>
        <w:spacing w:after="0" w:line="196" w:lineRule="exact"/>
        <w:rPr>
          <w:rFonts w:ascii="Arial" w:cs="Arial" w:eastAsia="Arial" w:hAnsi="Arial"/>
          <w:sz w:val="18"/>
          <w:szCs w:val="18"/>
          <w:color w:val="auto"/>
        </w:rPr>
      </w:pPr>
    </w:p>
    <w:p>
      <w:pPr>
        <w:ind w:right="60" w:firstLine="8"/>
        <w:spacing w:after="0" w:line="238" w:lineRule="auto"/>
        <w:tabs>
          <w:tab w:leader="none" w:pos="2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and</w:t>
      </w:r>
    </w:p>
    <w:p>
      <w:pPr>
        <w:spacing w:after="0" w:line="204" w:lineRule="exact"/>
        <w:rPr>
          <w:rFonts w:ascii="Arial" w:cs="Arial" w:eastAsia="Arial" w:hAnsi="Arial"/>
          <w:sz w:val="18"/>
          <w:szCs w:val="18"/>
          <w:color w:val="auto"/>
        </w:rPr>
      </w:pPr>
    </w:p>
    <w:p>
      <w:pPr>
        <w:ind w:left="200" w:hanging="192"/>
        <w:spacing w:after="0"/>
        <w:tabs>
          <w:tab w:leader="none" w:pos="2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At Landlord’s election, such other amounts in addition to or in lieu of the foregoing as may be permitted from time to time by applicable law.</w:t>
      </w:r>
    </w:p>
    <w:p>
      <w:pPr>
        <w:spacing w:after="0" w:line="201"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rent</w:t>
      </w:r>
      <w:r>
        <w:rPr>
          <w:rFonts w:ascii="Arial" w:cs="Arial" w:eastAsia="Arial" w:hAnsi="Arial"/>
          <w:sz w:val="18"/>
          <w:szCs w:val="18"/>
          <w:color w:val="auto"/>
        </w:rPr>
        <w:t xml:space="preserve">” as used in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shall be deemed to be and to mean all sums of every nature required to be paid by Tenant pursuant to the terms of this Lease, whether to Landlord or to others. As used in </w:t>
      </w:r>
      <w:r>
        <w:rPr>
          <w:rFonts w:ascii="Arial" w:cs="Arial" w:eastAsia="Arial" w:hAnsi="Arial"/>
          <w:sz w:val="18"/>
          <w:szCs w:val="18"/>
          <w:u w:val="single" w:color="auto"/>
          <w:color w:val="auto"/>
        </w:rPr>
        <w:t>Sections 21(c)(ii)(A)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3" w:name="page174"/>
    <w:bookmarkEnd w:id="173"/>
    <w:p>
      <w:pPr>
        <w:jc w:val="both"/>
        <w:ind w:right="200"/>
        <w:spacing w:after="0" w:line="253" w:lineRule="auto"/>
        <w:rPr>
          <w:sz w:val="20"/>
          <w:szCs w:val="20"/>
          <w:color w:val="auto"/>
        </w:rPr>
      </w:pPr>
      <w:r>
        <w:rPr>
          <w:rFonts w:ascii="Arial" w:cs="Arial" w:eastAsia="Arial" w:hAnsi="Arial"/>
          <w:sz w:val="18"/>
          <w:szCs w:val="18"/>
          <w:color w:val="auto"/>
        </w:rPr>
        <w:t>above, the “</w:t>
      </w:r>
      <w:r>
        <w:rPr>
          <w:rFonts w:ascii="Arial" w:cs="Arial" w:eastAsia="Arial" w:hAnsi="Arial"/>
          <w:sz w:val="18"/>
          <w:szCs w:val="18"/>
          <w:b w:val="1"/>
          <w:bCs w:val="1"/>
          <w:color w:val="auto"/>
        </w:rPr>
        <w:t>worth at the time of award</w:t>
      </w:r>
      <w:r>
        <w:rPr>
          <w:rFonts w:ascii="Arial" w:cs="Arial" w:eastAsia="Arial" w:hAnsi="Arial"/>
          <w:sz w:val="18"/>
          <w:szCs w:val="18"/>
          <w:color w:val="auto"/>
        </w:rPr>
        <w:t xml:space="preserve">” shall be computed by allowing interest at the Default Rate. As used in </w:t>
      </w:r>
      <w:r>
        <w:rPr>
          <w:rFonts w:ascii="Arial" w:cs="Arial" w:eastAsia="Arial" w:hAnsi="Arial"/>
          <w:sz w:val="18"/>
          <w:szCs w:val="18"/>
          <w:u w:val="single" w:color="auto"/>
          <w:color w:val="auto"/>
        </w:rPr>
        <w:t>Section 21(c)(ii)(C)</w:t>
      </w:r>
      <w:r>
        <w:rPr>
          <w:rFonts w:ascii="Arial" w:cs="Arial" w:eastAsia="Arial" w:hAnsi="Arial"/>
          <w:sz w:val="18"/>
          <w:szCs w:val="18"/>
          <w:color w:val="auto"/>
        </w:rPr>
        <w:t xml:space="preserve"> above, the “</w:t>
      </w:r>
      <w:r>
        <w:rPr>
          <w:rFonts w:ascii="Arial" w:cs="Arial" w:eastAsia="Arial" w:hAnsi="Arial"/>
          <w:sz w:val="18"/>
          <w:szCs w:val="18"/>
          <w:b w:val="1"/>
          <w:bCs w:val="1"/>
          <w:color w:val="auto"/>
        </w:rPr>
        <w:t>worth at the time of award</w:t>
      </w:r>
      <w:r>
        <w:rPr>
          <w:rFonts w:ascii="Arial" w:cs="Arial" w:eastAsia="Arial" w:hAnsi="Arial"/>
          <w:sz w:val="18"/>
          <w:szCs w:val="18"/>
          <w:color w:val="auto"/>
        </w:rPr>
        <w:t>” shall be computed by discounting such amount at the discount rate of the Federal Reserve Bank of San Francisco at the time of award plus 1%.</w:t>
      </w:r>
    </w:p>
    <w:p>
      <w:pPr>
        <w:spacing w:after="0" w:line="191" w:lineRule="exact"/>
        <w:rPr>
          <w:sz w:val="20"/>
          <w:szCs w:val="20"/>
          <w:color w:val="auto"/>
        </w:rPr>
      </w:pPr>
    </w:p>
    <w:p>
      <w:pPr>
        <w:ind w:right="160" w:firstLine="8"/>
        <w:spacing w:after="0" w:line="238" w:lineRule="auto"/>
        <w:tabs>
          <w:tab w:leader="none" w:pos="2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Landlord may continue this Lease in effect after Tenant’s Default and recover rent as it becomes due (Landlord and Tenant hereby agreeing that Tenant has the right to sublet or assign hereunder, subject only to reasonable limitations). Accordingly, if Landlord does not elect to terminate this Lease following a Default by Tenant, Landlord may, from time to time, without terminating this Lease, enforce all of its rights and remedies hereunder, including the right to recover all Rent as it becomes due.</w:t>
      </w:r>
    </w:p>
    <w:p>
      <w:pPr>
        <w:spacing w:after="0" w:line="204" w:lineRule="exact"/>
        <w:rPr>
          <w:rFonts w:ascii="Arial" w:cs="Arial" w:eastAsia="Arial" w:hAnsi="Arial"/>
          <w:sz w:val="18"/>
          <w:szCs w:val="18"/>
          <w:color w:val="auto"/>
        </w:rPr>
      </w:pPr>
    </w:p>
    <w:p>
      <w:pPr>
        <w:ind w:right="40" w:firstLine="8"/>
        <w:spacing w:after="0" w:line="238" w:lineRule="auto"/>
        <w:tabs>
          <w:tab w:leader="none" w:pos="217"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Whether or not Landlord elects to terminate this Lease following a Default by Tenant,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Upon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18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color w:val="auto"/>
        </w:rPr>
        <w:t>Effect of Exercise</w:t>
      </w:r>
      <w:r>
        <w:rPr>
          <w:rFonts w:ascii="Arial" w:cs="Arial" w:eastAsia="Arial" w:hAnsi="Arial"/>
          <w:sz w:val="18"/>
          <w:szCs w:val="18"/>
          <w:color w:val="auto"/>
        </w:rPr>
        <w:t>. Exercise by Landlord of any remedies hereunder or otherwise available shall not be deemed to be an acceptance of surrender of the Premises and/or a termination of this Lease by Landlord, it being understood that such surrender and/or termination can be effected only by the express written agreement of Landlord and Tenant. Any law, usage, or custom to the contrary notwithstanding, Landlord shall have the right at all times to enforce the provisions of this Lease in strict accordance with the terms hereof; and the failure of Landlord at any time to enforce its rights under this Lease strictly in accordance with same shall not be construed as having created a custom in any way or manner contrary to the specific terms, provisions, and covenants of this Lease or as having modified the same and shall not be deemed a waiver of Landlord’s right to enforce one or more of its rights in connection with any subsequent default. A receipt by Landlord of Rent or other payment with knowledge of the breach of any covenant hereof shall not be deemed a waiver of such breach, and no waiver by Landlord of any provision of this Lease shall be deemed to have been made unless expressed in writing and signed by Landlord. To the greatest extent permitted by law, Tenant waives the service of notice of Landlord’s intention to re-enter, re-take or otherwise obtain possession of the Premises as provided in any statute, or to institute legal proceedings to that end, and also waives all right of redemption in case Tenant shall be dispossessed by a judgment or by warrant of any court or judge. Any reletting of the Premises or any portion thereof shall be on such terms and conditions as Landlord in its sole discretion may determine. Landlord shall not be liable for, nor shall Tenant’s obligations hereunder be diminished because of, Landlord’s failure to relet the Premises or collect rent due in respect of such reletting or otherwise to mitigate any damages arising by reason of Tenant’s Default.</w:t>
      </w:r>
    </w:p>
    <w:p>
      <w:pPr>
        <w:spacing w:after="0" w:line="188" w:lineRule="exact"/>
        <w:rPr>
          <w:sz w:val="20"/>
          <w:szCs w:val="20"/>
          <w:color w:val="auto"/>
        </w:rPr>
      </w:pPr>
    </w:p>
    <w:p>
      <w:pPr>
        <w:ind w:left="300" w:hanging="292"/>
        <w:spacing w:after="0"/>
        <w:tabs>
          <w:tab w:leader="none" w:pos="30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Assignment and Subletting</w:t>
      </w:r>
      <w:r>
        <w:rPr>
          <w:rFonts w:ascii="Arial" w:cs="Arial" w:eastAsia="Arial" w:hAnsi="Arial"/>
          <w:sz w:val="18"/>
          <w:szCs w:val="18"/>
          <w:color w:val="auto"/>
        </w:rPr>
        <w:t>.</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General Prohibition</w:t>
      </w:r>
      <w:r>
        <w:rPr>
          <w:rFonts w:ascii="Arial" w:cs="Arial" w:eastAsia="Arial" w:hAnsi="Arial"/>
          <w:sz w:val="18"/>
          <w:szCs w:val="18"/>
          <w:color w:val="auto"/>
        </w:rPr>
        <w:t xml:space="preserve">. Without Landlord’s prior written consent subject to and on the conditions described in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Tenant shall not, directly or indirectly, voluntarily or by operation of law, assign this Lease or sublease the Premises or any part thereof or mortgage, pledge, or hypothecate its leasehold interest or grant any concession or license within the Premises, and any attempt to do any of the foregoing shall be void and of no effect. If Tenant is a corporation, partnership or limited liability company, the shares or other ownership interests thereof which are not actively traded upon a stock exchange or in the over-the-counter market, a transfer or series of transfers whereby 50% or more of the issued and outstanding shares or other ownership interests of such corporation are, or voting control is, transferred (but excepting transfers upon deaths of individual owners) from a person or persons or entity or entities which were owners thereof at time of execution of this Lease to persons or entities who were not owners of shares or other ownership interests of the corporation, partnership or limited liability company at time of execution of this Lease, shall be deemed an assignment of this Lease requiring the consent of Landlord as provided in this </w:t>
      </w:r>
      <w:r>
        <w:rPr>
          <w:rFonts w:ascii="Arial" w:cs="Arial" w:eastAsia="Arial" w:hAnsi="Arial"/>
          <w:sz w:val="18"/>
          <w:szCs w:val="18"/>
          <w:u w:val="single" w:color="auto"/>
          <w:color w:val="auto"/>
        </w:rPr>
        <w:t>Section 22</w:t>
      </w:r>
      <w:r>
        <w:rPr>
          <w:rFonts w:ascii="Arial" w:cs="Arial" w:eastAsia="Arial" w:hAnsi="Arial"/>
          <w:sz w:val="18"/>
          <w:szCs w:val="18"/>
          <w:color w:val="auto"/>
        </w:rPr>
        <w:t>. Notwithstanding the foregoing, any public offering of shares or other ownership interest in Tenant shall not be deemed an assignment</w:t>
      </w:r>
    </w:p>
    <w:p>
      <w:pPr>
        <w:spacing w:after="0" w:line="18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Permitted Transfers</w:t>
      </w:r>
      <w:r>
        <w:rPr>
          <w:rFonts w:ascii="Arial" w:cs="Arial" w:eastAsia="Arial" w:hAnsi="Arial"/>
          <w:sz w:val="18"/>
          <w:szCs w:val="18"/>
          <w:color w:val="auto"/>
        </w:rPr>
        <w:t>. If Tenant desires to assign, sublease, hypothecate or otherwise transfer this Lease or sublet the Premises, then at least 15 business days, but not more than 45 business days, before the date Tenant desires the assignment or sublease to be effective (the “</w:t>
      </w:r>
      <w:r>
        <w:rPr>
          <w:rFonts w:ascii="Arial" w:cs="Arial" w:eastAsia="Arial" w:hAnsi="Arial"/>
          <w:sz w:val="18"/>
          <w:szCs w:val="18"/>
          <w:b w:val="1"/>
          <w:bCs w:val="1"/>
          <w:color w:val="auto"/>
        </w:rPr>
        <w:t>Assignment Date</w:t>
      </w:r>
      <w:r>
        <w:rPr>
          <w:rFonts w:ascii="Arial" w:cs="Arial" w:eastAsia="Arial" w:hAnsi="Arial"/>
          <w:sz w:val="18"/>
          <w:szCs w:val="18"/>
          <w:color w:val="auto"/>
        </w:rPr>
        <w:t>”), Tenant shall give Landlord a notice (the “</w:t>
      </w:r>
      <w:r>
        <w:rPr>
          <w:rFonts w:ascii="Arial" w:cs="Arial" w:eastAsia="Arial" w:hAnsi="Arial"/>
          <w:sz w:val="18"/>
          <w:szCs w:val="18"/>
          <w:b w:val="1"/>
          <w:bCs w:val="1"/>
          <w:color w:val="auto"/>
        </w:rPr>
        <w:t>Assignment Notice</w:t>
      </w:r>
      <w:r>
        <w:rPr>
          <w:rFonts w:ascii="Arial" w:cs="Arial" w:eastAsia="Arial" w:hAnsi="Arial"/>
          <w:sz w:val="18"/>
          <w:szCs w:val="18"/>
          <w:color w:val="auto"/>
        </w:rPr>
        <w:t>”) containing such information about the proposed assignee or sublessee, including the proposed use of the Premises and any Hazardous Materials proposed to be used, stored handled, treated, generated in or released or disposed of from the Premises, the Assignment Date, any relationship between Tenant and the proposed assignee or sublessee, and all material terms and conditions of the proposed assignment or sublease, including a copy of any proposed assignment or sublease in its final form, and such other information as Landlord may deem reasonably necessary or appropriate to its consideration whether to grant its consent. Landlord may, by giving written notice to Tenant within 15 business days after receipt of the Assignment Notice: (i) grant such consent (provided that Landlord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178435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t>further have the right to review and approve or disapprove the proposed form of sublease prior to the effective date of any such subletting),</w:t>
      </w:r>
    </w:p>
    <w:p>
      <w:pPr>
        <w:ind w:firstLine="8"/>
        <w:spacing w:after="0" w:line="235" w:lineRule="auto"/>
        <w:tabs>
          <w:tab w:leader="none" w:pos="25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refuse such consent, in its reasonable discretion; or (iii) terminate this Lease with respect to the space described in the Assignment Notice as of the Assignment Date (an “</w:t>
      </w:r>
      <w:r>
        <w:rPr>
          <w:rFonts w:ascii="Arial" w:cs="Arial" w:eastAsia="Arial" w:hAnsi="Arial"/>
          <w:sz w:val="18"/>
          <w:szCs w:val="18"/>
          <w:b w:val="1"/>
          <w:bCs w:val="1"/>
          <w:color w:val="auto"/>
        </w:rPr>
        <w:t>Assignment Termination</w:t>
      </w:r>
      <w:r>
        <w:rPr>
          <w:rFonts w:ascii="Arial" w:cs="Arial" w:eastAsia="Arial" w:hAnsi="Arial"/>
          <w:sz w:val="18"/>
          <w:szCs w:val="18"/>
          <w:color w:val="auto"/>
        </w:rPr>
        <w:t xml:space="preserve">”). </w:t>
      </w:r>
      <w:r>
        <w:rPr>
          <w:rFonts w:ascii="Arial" w:cs="Arial" w:eastAsia="Arial" w:hAnsi="Arial"/>
          <w:sz w:val="18"/>
          <w:szCs w:val="18"/>
          <w:b w:val="1"/>
          <w:bCs w:val="1"/>
          <w:color w:val="auto"/>
        </w:rPr>
        <w:t>Among other reasons, it shall be reasonable for Landlord to withhold its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consent in any of these instances: (1) the proposed assignee or subtenant is a governmental agency; (2) in Landlord’s reasonable judgment, the use of the Premises by the proposed assignee or subtenant would entail any alterations that would lessen the value of the leasehold improvements in the Premises, or would require increased services by Landlord; (3) </w:t>
      </w:r>
      <w:r>
        <w:rPr>
          <w:rFonts w:ascii="Arial" w:cs="Arial" w:eastAsia="Arial" w:hAnsi="Arial"/>
          <w:sz w:val="18"/>
          <w:szCs w:val="18"/>
          <w:color w:val="auto"/>
        </w:rPr>
        <w:t>in Landlord’s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judgment, the proposed assignee or subtenant lacks the creditworthiness to support the financial obligations it will incur under the proposed assignment or sublease</w:t>
      </w:r>
      <w:r>
        <w:rPr>
          <w:rFonts w:ascii="Arial" w:cs="Arial" w:eastAsia="Arial" w:hAnsi="Arial"/>
          <w:sz w:val="18"/>
          <w:szCs w:val="18"/>
          <w:b w:val="1"/>
          <w:bCs w:val="1"/>
          <w:color w:val="auto"/>
        </w:rPr>
        <w:t>; (4) in Landlord’s reasonable judgment, the character, reputation, or business of the proposed assignee or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subtenant is inconsistent with the desired tenant-mix or the quality of other tenancies in the Project or is inconsistent with the type and quality of the nature of the Building; (5) reserved; (6) Landlord has experienced previous defaults by or is in litigation with the proposed assignee or subtenant; (7) the use of the Premises by the proposed assignee or subtenant will violate any applicable Legal Requirement; (8) the proposed assignee or subtenant, or any entity that, directly or indirectly, controls, is controlled by, or is under common control with the proposed assignee or subtenant, is then an occupant of the Project and Landlord has comparable space available to meet the transferee’s needs; (9) the proposed assignee or subtenant is an entity with whom Landlord is then currently negotiating to lease space in the Project; or (10) the assignment or sublease is prohibited by Landlord’s lender. </w:t>
      </w:r>
      <w:r>
        <w:rPr>
          <w:rFonts w:ascii="Arial" w:cs="Arial" w:eastAsia="Arial" w:hAnsi="Arial"/>
          <w:sz w:val="18"/>
          <w:szCs w:val="18"/>
          <w:color w:val="auto"/>
        </w:rPr>
        <w:t>If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delivers notice of its election to exercise an Assignment Termination, Tenant shall have the right to withdraw such Assignment Notice by written notice to Landlord of such election within 5 business days after Landlord’s notice electing to exercise the Assignment Termination. If Tenant withdraws such Assignment Notice, this Lease shall continue in full force and effect. If Tenant does not withdraw such Assignment Notice, this Lease, and the term and estate herein granted, shall terminate as of the Assignment Date with respect to the space described in such Assignment Notice. No failure of Landlord to exercise any such option to terminate this Lease, or to deliver a timely notice in response to the Assignment Notice, shall be deemed to be Landlord’s consent to the proposed assignment, sublease or other transfer. Tenant shall pay to Landlord a fee equal to Two Thousand Five Hundred Dollars ($2,500) in connection with its consideration of any Assignment Notice and/or its preparation or review of any consent documents. Notwithstanding the foregoing, Landlord’s consent to an assignment of this Lease or a subletting of any portion of the Premises to any entity controlling, controlled by or under common control with Tenant (a “</w:t>
      </w:r>
      <w:r>
        <w:rPr>
          <w:rFonts w:ascii="Arial" w:cs="Arial" w:eastAsia="Arial" w:hAnsi="Arial"/>
          <w:sz w:val="18"/>
          <w:szCs w:val="18"/>
          <w:b w:val="1"/>
          <w:bCs w:val="1"/>
          <w:color w:val="auto"/>
        </w:rPr>
        <w:t>Control</w:t>
      </w:r>
      <w:r>
        <w:rPr>
          <w:rFonts w:ascii="Arial" w:cs="Arial" w:eastAsia="Arial" w:hAnsi="Arial"/>
          <w:sz w:val="18"/>
          <w:szCs w:val="18"/>
          <w:color w:val="auto"/>
        </w:rPr>
        <w:t xml:space="preserve"> </w:t>
      </w:r>
      <w:r>
        <w:rPr>
          <w:rFonts w:ascii="Arial" w:cs="Arial" w:eastAsia="Arial" w:hAnsi="Arial"/>
          <w:sz w:val="18"/>
          <w:szCs w:val="18"/>
          <w:b w:val="1"/>
          <w:bCs w:val="1"/>
          <w:color w:val="auto"/>
        </w:rPr>
        <w:t>Permitted Assignment</w:t>
      </w:r>
      <w:r>
        <w:rPr>
          <w:rFonts w:ascii="Arial" w:cs="Arial" w:eastAsia="Arial" w:hAnsi="Arial"/>
          <w:sz w:val="18"/>
          <w:szCs w:val="18"/>
          <w:color w:val="auto"/>
        </w:rPr>
        <w:t>”) shall not be required, provided that Landlord shall have the right to approve the form of any such sublease or</w:t>
      </w:r>
      <w:r>
        <w:rPr>
          <w:rFonts w:ascii="Arial" w:cs="Arial" w:eastAsia="Arial" w:hAnsi="Arial"/>
          <w:sz w:val="18"/>
          <w:szCs w:val="18"/>
          <w:b w:val="1"/>
          <w:bCs w:val="1"/>
          <w:color w:val="auto"/>
        </w:rPr>
        <w:t xml:space="preserve"> </w:t>
      </w:r>
      <w:r>
        <w:rPr>
          <w:rFonts w:ascii="Arial" w:cs="Arial" w:eastAsia="Arial" w:hAnsi="Arial"/>
          <w:sz w:val="18"/>
          <w:szCs w:val="18"/>
          <w:color w:val="auto"/>
        </w:rPr>
        <w:t>assignment (which approval shall not unreasonably withheld or delayed).</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Tenant shall have the right to assign this Lease, upon 15 days prior written notice to Landlord but without obtaining</w:t>
      </w:r>
    </w:p>
    <w:p>
      <w:pPr>
        <w:spacing w:after="0" w:line="234" w:lineRule="auto"/>
        <w:rPr>
          <w:sz w:val="20"/>
          <w:szCs w:val="20"/>
          <w:color w:val="auto"/>
        </w:rPr>
      </w:pPr>
      <w:r>
        <w:rPr>
          <w:rFonts w:ascii="Arial" w:cs="Arial" w:eastAsia="Arial" w:hAnsi="Arial"/>
          <w:sz w:val="18"/>
          <w:szCs w:val="18"/>
          <w:color w:val="auto"/>
        </w:rPr>
        <w:t>Landlord’s prior written consent, to a corporation or other entity which is a successor-in-interest to Tenant, by way of merger, consolidation or</w:t>
      </w:r>
    </w:p>
    <w:p>
      <w:pPr>
        <w:spacing w:after="0" w:line="235" w:lineRule="auto"/>
        <w:rPr>
          <w:sz w:val="20"/>
          <w:szCs w:val="20"/>
          <w:color w:val="auto"/>
        </w:rPr>
      </w:pPr>
      <w:r>
        <w:rPr>
          <w:rFonts w:ascii="Arial" w:cs="Arial" w:eastAsia="Arial" w:hAnsi="Arial"/>
          <w:sz w:val="18"/>
          <w:szCs w:val="18"/>
          <w:color w:val="auto"/>
        </w:rPr>
        <w:t>corporate reorganization, or by the purchase of all or substantially all of the assets or the ownership interests of Tenant provided that (i) such</w:t>
      </w:r>
    </w:p>
    <w:p>
      <w:pPr>
        <w:spacing w:after="0" w:line="235" w:lineRule="auto"/>
        <w:rPr>
          <w:sz w:val="20"/>
          <w:szCs w:val="20"/>
          <w:color w:val="auto"/>
        </w:rPr>
      </w:pPr>
      <w:r>
        <w:rPr>
          <w:rFonts w:ascii="Arial" w:cs="Arial" w:eastAsia="Arial" w:hAnsi="Arial"/>
          <w:sz w:val="18"/>
          <w:szCs w:val="18"/>
          <w:color w:val="auto"/>
        </w:rPr>
        <w:t>merger or consolidation, or such acquisition or assumption, as the case may be, is for a good business purpose and not principally for the</w:t>
      </w:r>
    </w:p>
    <w:p>
      <w:pPr>
        <w:spacing w:after="0" w:line="235" w:lineRule="auto"/>
        <w:rPr>
          <w:sz w:val="20"/>
          <w:szCs w:val="20"/>
          <w:color w:val="auto"/>
        </w:rPr>
      </w:pPr>
      <w:r>
        <w:rPr>
          <w:rFonts w:ascii="Arial" w:cs="Arial" w:eastAsia="Arial" w:hAnsi="Arial"/>
          <w:sz w:val="18"/>
          <w:szCs w:val="18"/>
          <w:color w:val="auto"/>
        </w:rPr>
        <w:t>purpose of transferring this Lease, and (ii) the net worth (as determined in accordance with generally accepted accounting principles</w:t>
      </w:r>
    </w:p>
    <w:p>
      <w:pPr>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of the assignee is not less than the net worth (as determined in accordance with GAAP) of Tenant as of the date of Tenant’s most</w:t>
      </w:r>
    </w:p>
    <w:p>
      <w:pPr>
        <w:spacing w:after="0" w:line="234" w:lineRule="auto"/>
        <w:rPr>
          <w:sz w:val="20"/>
          <w:szCs w:val="20"/>
          <w:color w:val="auto"/>
        </w:rPr>
      </w:pPr>
      <w:r>
        <w:rPr>
          <w:rFonts w:ascii="Arial" w:cs="Arial" w:eastAsia="Arial" w:hAnsi="Arial"/>
          <w:sz w:val="18"/>
          <w:szCs w:val="18"/>
          <w:color w:val="auto"/>
        </w:rPr>
        <w:t>current quarterly or annual financial statements, and (iii) such assignee shall agree in writing to assume all of the terms, covenants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conditions of this Lease (a “</w:t>
      </w:r>
      <w:r>
        <w:rPr>
          <w:rFonts w:ascii="Arial" w:cs="Arial" w:eastAsia="Arial" w:hAnsi="Arial"/>
          <w:sz w:val="18"/>
          <w:szCs w:val="18"/>
          <w:b w:val="1"/>
          <w:bCs w:val="1"/>
          <w:color w:val="auto"/>
        </w:rPr>
        <w:t>Corporate Permitted Assignment</w:t>
      </w:r>
      <w:r>
        <w:rPr>
          <w:rFonts w:ascii="Arial" w:cs="Arial" w:eastAsia="Arial" w:hAnsi="Arial"/>
          <w:sz w:val="18"/>
          <w:szCs w:val="18"/>
          <w:color w:val="auto"/>
        </w:rPr>
        <w:t>”).</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Control Permitted Assignments and Corporate Permitted Assignments are hereinafter referred to as “</w:t>
      </w:r>
      <w:r>
        <w:rPr>
          <w:rFonts w:ascii="Arial" w:cs="Arial" w:eastAsia="Arial" w:hAnsi="Arial"/>
          <w:sz w:val="18"/>
          <w:szCs w:val="18"/>
          <w:b w:val="1"/>
          <w:bCs w:val="1"/>
          <w:color w:val="auto"/>
        </w:rPr>
        <w:t>Permitted Assignments</w:t>
      </w:r>
      <w:r>
        <w:rPr>
          <w:rFonts w:ascii="Arial" w:cs="Arial" w:eastAsia="Arial" w:hAnsi="Arial"/>
          <w:sz w:val="18"/>
          <w:szCs w:val="18"/>
          <w:color w:val="auto"/>
        </w:rPr>
        <w:t>.”</w:t>
      </w:r>
    </w:p>
    <w:p>
      <w:pPr>
        <w:spacing w:after="0" w:line="21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Additional Conditions</w:t>
      </w:r>
      <w:r>
        <w:rPr>
          <w:rFonts w:ascii="Arial" w:cs="Arial" w:eastAsia="Arial" w:hAnsi="Arial"/>
          <w:sz w:val="18"/>
          <w:szCs w:val="18"/>
          <w:color w:val="auto"/>
        </w:rPr>
        <w:t xml:space="preserve">. As a condition to any such assignment or subletting, whether or not Landlord’s consent is required, Landlord may require that any assignee or subtenant agree, in writing at the time of such assignment or subletting, that if Landlord gives such party notice that Tenant is in default under this Lease, such party shall thereafter make all payments otherwise due Tenant directly to Landlord, which payments will be received by Landlord without any liability except to credit such payment against those due under this Lease, and any such third party shall agree to attorn to Landlord or its successors and assigns should this Lease be terminated for any reason;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no event shall Landlord or its successors or assigns be obligated to accept such attornment.</w:t>
      </w:r>
    </w:p>
    <w:p>
      <w:pPr>
        <w:spacing w:after="0" w:line="17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color w:val="auto"/>
        </w:rPr>
        <w:t>No Release of Tenant, Sharing of Excess Rents</w:t>
      </w:r>
      <w:r>
        <w:rPr>
          <w:rFonts w:ascii="Arial" w:cs="Arial" w:eastAsia="Arial" w:hAnsi="Arial"/>
          <w:sz w:val="18"/>
          <w:szCs w:val="18"/>
          <w:color w:val="auto"/>
        </w:rPr>
        <w:t>. Notwithstanding any assignment or subletting, Tenant and any guarantor or surety of Tenant’s obligations under this Lease shall at all times remain fully and primarily responsible and liable for the payment of Rent and for compliance with all of Tenant’s other obligations under this Lease. Other than in connection with a Permitted Assignment, if the Rent due and payable by a sublessee or assignee (or a combination of the rental payable under such sublease or assignment plus any bonus or other consideration therefor or incident thereto in any form) exceeds the sum of the rental payable under this Lease (excluding however, any Rent payable under this Section, and actual and reasonable and customary brokerage fees, legal costs and any design or construction fees directly related to and required pursuant to the terms of any such sublease, in each case amortized over the remaining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75" w:name="page176"/>
    <w:bookmarkEnd w:id="175"/>
    <w:p>
      <w:pPr>
        <w:ind w:right="100"/>
        <w:spacing w:after="0" w:line="242" w:lineRule="auto"/>
        <w:rPr>
          <w:sz w:val="20"/>
          <w:szCs w:val="20"/>
          <w:color w:val="auto"/>
        </w:rPr>
      </w:pPr>
      <w:r>
        <w:rPr>
          <w:rFonts w:ascii="Arial" w:cs="Arial" w:eastAsia="Arial" w:hAnsi="Arial"/>
          <w:sz w:val="18"/>
          <w:szCs w:val="18"/>
          <w:color w:val="auto"/>
        </w:rPr>
        <w:t>Term of the Lease) (“</w:t>
      </w:r>
      <w:r>
        <w:rPr>
          <w:rFonts w:ascii="Arial" w:cs="Arial" w:eastAsia="Arial" w:hAnsi="Arial"/>
          <w:sz w:val="18"/>
          <w:szCs w:val="18"/>
          <w:b w:val="1"/>
          <w:bCs w:val="1"/>
          <w:color w:val="auto"/>
        </w:rPr>
        <w:t>Excess Rent</w:t>
      </w:r>
      <w:r>
        <w:rPr>
          <w:rFonts w:ascii="Arial" w:cs="Arial" w:eastAsia="Arial" w:hAnsi="Arial"/>
          <w:sz w:val="18"/>
          <w:szCs w:val="18"/>
          <w:color w:val="auto"/>
        </w:rPr>
        <w:t>”), then Tenant shall be bound and obligated to pay Landlord as Additional Rent hereunder 50% of such Excess Rent within 10 days following receipt thereof by Tenant. If Tenant shall sublet the Premises or any part thereof, Tenant hereby immediately and irrevocably assigns to Landlord, as security for Tenant’s obligations under this Lease, all rent from any such subletting, and Landlord as assignee and as attorney-in-fact for Tenant, or a receiver for Tenant appointed on Landlord’s application, may collect such rent and apply it toward Tenant’s obligations under this Lease; except that, until the occurrence of a Default, Tenant shall have the right to collect such rent.</w:t>
      </w:r>
    </w:p>
    <w:p>
      <w:pPr>
        <w:spacing w:after="0" w:line="179"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color w:val="auto"/>
        </w:rPr>
        <w:t>No Waiver</w:t>
      </w:r>
      <w:r>
        <w:rPr>
          <w:rFonts w:ascii="Arial" w:cs="Arial" w:eastAsia="Arial" w:hAnsi="Arial"/>
          <w:sz w:val="18"/>
          <w:szCs w:val="18"/>
          <w:color w:val="auto"/>
        </w:rPr>
        <w:t>. The consent by Landlord to an assignment or subletting shall not relieve Tenant or any assignees of this Lease or any sublessees of the Premises from obtaining the consent of Landlord to any further assignment or subletting nor shall it release Tenant or any assignee or sublessee of Tenant from full and primary liability under this Lease. The acceptance of Rent hereunder, or the acceptance of performance of any other term, covenant, or condition thereof, from any other person or entity shall not be deemed to be a waiver of any of the provisions of this Lease or a consent to any subletting, assignment or other transfer of the Premises.</w:t>
      </w:r>
    </w:p>
    <w:p>
      <w:pPr>
        <w:spacing w:after="0" w:line="176" w:lineRule="exact"/>
        <w:rPr>
          <w:sz w:val="20"/>
          <w:szCs w:val="20"/>
          <w:color w:val="auto"/>
        </w:rPr>
      </w:pPr>
    </w:p>
    <w:p>
      <w:pPr>
        <w:ind w:firstLine="8"/>
        <w:spacing w:after="0" w:line="239" w:lineRule="auto"/>
        <w:tabs>
          <w:tab w:leader="none" w:pos="30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Estoppel Certificate</w:t>
      </w:r>
      <w:r>
        <w:rPr>
          <w:rFonts w:ascii="Arial" w:cs="Arial" w:eastAsia="Arial" w:hAnsi="Arial"/>
          <w:sz w:val="18"/>
          <w:szCs w:val="18"/>
          <w:color w:val="auto"/>
        </w:rPr>
        <w:t>. Tenant shall, within 10 business days of written notice from Landlord, execute, acknowledge and deliver a</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in writing in any form reasonably requested by a proposed lender or purchaser, (i) certifying that this Lease is unmodified and in full force and effect (or, if modified, stating the nature of such modification and certifying that this Lease as so modified is in full force and effect) and the dates to which the rental and other charges are paid in advance, if any, (ii) acknowledging that there are not any uncured defaults on the part of Landlord hereunder, or specifying such defaults if any are claimed, and (iii) setting forth such further information with respect to the status of this Lease or the Premises as may be reasonably requested thereon. Any such statement may be relied upon by any prospective purchaser or encumbrancer of all or any portion of the real property of which the Premises are a part. Tenant’s failure to deliver such statement within 5 days after Tenant’s receipt of a second written notice from Landlord shall, at the option of Landlord, constitute a Default under this Lease, and, in any event, shall be conclusive upon Tenant that this Lease is in full force and effect and without modification except as may be represented by Landlord in any certificate prepared by Landlord and delivered to Tenant for execution.</w:t>
      </w:r>
    </w:p>
    <w:p>
      <w:pPr>
        <w:spacing w:after="0" w:line="179" w:lineRule="exact"/>
        <w:rPr>
          <w:rFonts w:ascii="Arial" w:cs="Arial" w:eastAsia="Arial" w:hAnsi="Arial"/>
          <w:sz w:val="18"/>
          <w:szCs w:val="18"/>
          <w:color w:val="auto"/>
        </w:rPr>
      </w:pPr>
    </w:p>
    <w:p>
      <w:pPr>
        <w:ind w:right="460" w:firstLine="8"/>
        <w:spacing w:after="0" w:line="271" w:lineRule="auto"/>
        <w:tabs>
          <w:tab w:leader="none" w:pos="30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Quiet Enjoyment</w:t>
      </w:r>
      <w:r>
        <w:rPr>
          <w:rFonts w:ascii="Arial" w:cs="Arial" w:eastAsia="Arial" w:hAnsi="Arial"/>
          <w:sz w:val="18"/>
          <w:szCs w:val="18"/>
          <w:color w:val="auto"/>
        </w:rPr>
        <w:t>. So long as Tenant is not in Default under this Lease, Tenant shall, subject to the terms of this Lease, at all times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have peaceful and quiet enjoyment of the Premises against any person claiming by, through or under Landlord.</w:t>
      </w:r>
    </w:p>
    <w:p>
      <w:pPr>
        <w:spacing w:after="0" w:line="153" w:lineRule="exact"/>
        <w:rPr>
          <w:rFonts w:ascii="Arial" w:cs="Arial" w:eastAsia="Arial" w:hAnsi="Arial"/>
          <w:sz w:val="18"/>
          <w:szCs w:val="18"/>
          <w:color w:val="auto"/>
        </w:rPr>
      </w:pPr>
    </w:p>
    <w:p>
      <w:pPr>
        <w:ind w:left="300" w:hanging="292"/>
        <w:spacing w:after="0"/>
        <w:tabs>
          <w:tab w:leader="none" w:pos="30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Prorations</w:t>
      </w:r>
      <w:r>
        <w:rPr>
          <w:rFonts w:ascii="Arial" w:cs="Arial" w:eastAsia="Arial" w:hAnsi="Arial"/>
          <w:sz w:val="18"/>
          <w:szCs w:val="18"/>
          <w:color w:val="auto"/>
        </w:rPr>
        <w:t>. All prorations required or permitted to be made hereunder shall be made on the basis of a 360 day year and 30 day months.</w:t>
      </w:r>
    </w:p>
    <w:p>
      <w:pPr>
        <w:spacing w:after="0" w:line="211" w:lineRule="exact"/>
        <w:rPr>
          <w:rFonts w:ascii="Arial" w:cs="Arial" w:eastAsia="Arial" w:hAnsi="Arial"/>
          <w:sz w:val="18"/>
          <w:szCs w:val="18"/>
          <w:color w:val="auto"/>
        </w:rPr>
      </w:pPr>
    </w:p>
    <w:p>
      <w:pPr>
        <w:ind w:firstLine="8"/>
        <w:spacing w:after="0"/>
        <w:tabs>
          <w:tab w:leader="none" w:pos="30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Rules and Regulations</w:t>
      </w:r>
      <w:r>
        <w:rPr>
          <w:rFonts w:ascii="Arial" w:cs="Arial" w:eastAsia="Arial" w:hAnsi="Arial"/>
          <w:sz w:val="18"/>
          <w:szCs w:val="18"/>
          <w:color w:val="auto"/>
        </w:rPr>
        <w:t>. Tenant shall, at all times during the Term and any extension thereof, comply with all reasonable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regulations at any time or from time to time established by Landlord covering use of the Premises and the Project. Such rules and regulations may include, without limitation, rules and regulations relating to the use of the Project Amenities and/or rules and regulations which are intended to encourage social distancing, promote and protect health and physical well-being within the Building and the Project and/or intended to limit the spread of Infectious Conditions. The current rules and regulations are attached hereto as </w:t>
      </w:r>
      <w:r>
        <w:rPr>
          <w:rFonts w:ascii="Arial" w:cs="Arial" w:eastAsia="Arial" w:hAnsi="Arial"/>
          <w:sz w:val="18"/>
          <w:szCs w:val="18"/>
          <w:b w:val="1"/>
          <w:bCs w:val="1"/>
          <w:color w:val="auto"/>
        </w:rPr>
        <w:t>Exhibit E</w:t>
      </w:r>
      <w:r>
        <w:rPr>
          <w:rFonts w:ascii="Arial" w:cs="Arial" w:eastAsia="Arial" w:hAnsi="Arial"/>
          <w:sz w:val="18"/>
          <w:szCs w:val="18"/>
          <w:color w:val="auto"/>
        </w:rPr>
        <w:t>. If there is any conflict between said rules and regulations and other provisions of this Lease, the terms and provisions of this Lease shall control. Landlord shall not have any liability or obligation for the breach of any rules or regulations by other tenants in the Project and shall not enforce such rules and regulations in a discriminatory manner.</w:t>
      </w:r>
    </w:p>
    <w:p>
      <w:pPr>
        <w:spacing w:after="0" w:line="180" w:lineRule="exact"/>
        <w:rPr>
          <w:rFonts w:ascii="Arial" w:cs="Arial" w:eastAsia="Arial" w:hAnsi="Arial"/>
          <w:sz w:val="18"/>
          <w:szCs w:val="18"/>
          <w:color w:val="auto"/>
        </w:rPr>
      </w:pPr>
    </w:p>
    <w:p>
      <w:pPr>
        <w:ind w:right="20" w:firstLine="8"/>
        <w:spacing w:after="0" w:line="237" w:lineRule="auto"/>
        <w:tabs>
          <w:tab w:leader="none" w:pos="30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Subordination</w:t>
      </w:r>
      <w:r>
        <w:rPr>
          <w:rFonts w:ascii="Arial" w:cs="Arial" w:eastAsia="Arial" w:hAnsi="Arial"/>
          <w:sz w:val="18"/>
          <w:szCs w:val="18"/>
          <w:color w:val="auto"/>
        </w:rPr>
        <w:t>. This Lease and Tenant’s interest and rights hereunder are hereby made and shall be subject and subordinate at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times to the lien of any Mortgage now existing or hereafter created on or against the Project or the Premises, and all amendments, restatements, renewals, modifications, consolidations, refinancing, assignments and extensions thereof, without the necessity of any further instrument or act on the part of Tenant;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so long as there is no Default hereunder, Tenant’s right to possession of the Premises shall not be disturbed by the Holder of any such Mortgage. Tenant agrees, at the election of the Holder of any such Mortgage, to attorn to any such Holder. Tenant agrees upon demand to execute, acknowledge and deliver such instruments, confirming such subordination, and such instruments of attornment as shall be requested by any such Holder, provided any such instruments contain appropriate non-disturbance provisions assuring Tenant’s quiet enjoyment of the Premises as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hereof. Notwithstanding the foregoing, any such Holder may at any time subordinate its Mortgage to this Lease, without Tenant’s consent, by notice in writing to Tenant, and thereupon this Lease shall be deemed prior to such Mortgage without regard to their respective dates of execution, delivery or recording and in that event such Holder shall have the same rights with respect to this Lease as though this Lease had been executed prior to the execution, delivery and recording of such Mortgage and had been assigned to such Holder. The term “</w:t>
      </w:r>
      <w:r>
        <w:rPr>
          <w:rFonts w:ascii="Arial" w:cs="Arial" w:eastAsia="Arial" w:hAnsi="Arial"/>
          <w:sz w:val="18"/>
          <w:szCs w:val="18"/>
          <w:b w:val="1"/>
          <w:bCs w:val="1"/>
          <w:color w:val="auto"/>
        </w:rPr>
        <w:t>Mortgage</w:t>
      </w:r>
      <w:r>
        <w:rPr>
          <w:rFonts w:ascii="Arial" w:cs="Arial" w:eastAsia="Arial" w:hAnsi="Arial"/>
          <w:sz w:val="18"/>
          <w:szCs w:val="18"/>
          <w:color w:val="auto"/>
        </w:rPr>
        <w:t>” whenever used in this Lease shall be deemed to include deeds of trust, security assignments and any other encumbrances, and any reference to the “</w:t>
      </w:r>
      <w:r>
        <w:rPr>
          <w:rFonts w:ascii="Arial" w:cs="Arial" w:eastAsia="Arial" w:hAnsi="Arial"/>
          <w:sz w:val="18"/>
          <w:szCs w:val="18"/>
          <w:b w:val="1"/>
          <w:bCs w:val="1"/>
          <w:color w:val="auto"/>
        </w:rPr>
        <w:t>Holder</w:t>
      </w:r>
      <w:r>
        <w:rPr>
          <w:rFonts w:ascii="Arial" w:cs="Arial" w:eastAsia="Arial" w:hAnsi="Arial"/>
          <w:sz w:val="18"/>
          <w:szCs w:val="18"/>
          <w:color w:val="auto"/>
        </w:rPr>
        <w:t>” of a Mortgage shall be deemed to include the beneficiary under a deed of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76" w:name="page177"/>
    <w:bookmarkEnd w:id="176"/>
    <w:p>
      <w:pPr>
        <w:jc w:val="both"/>
        <w:ind w:right="60" w:firstLine="8"/>
        <w:spacing w:after="0" w:line="244" w:lineRule="auto"/>
        <w:tabs>
          <w:tab w:leader="none" w:pos="30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Surrender</w:t>
      </w:r>
      <w:r>
        <w:rPr>
          <w:rFonts w:ascii="Arial" w:cs="Arial" w:eastAsia="Arial" w:hAnsi="Arial"/>
          <w:sz w:val="18"/>
          <w:szCs w:val="18"/>
          <w:color w:val="auto"/>
        </w:rPr>
        <w:t>. Upon the expiration of the Term or earlier termination of Tenant’s right of possession, Tenant shall surrender the Premises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Landlord in the same condition as received subject to any Alterations or Installations permitted by Landlord to remain in the Premises, free of Hazardous Materials brought upon, kept, used, stored, handled, treated, generated in, or released or disposed of from, the Premises by Tenant or any Tenant Parties, broom clean, ordinary wear and tear and casualty loss and condemnation covered by </w:t>
      </w:r>
      <w:r>
        <w:rPr>
          <w:rFonts w:ascii="Arial" w:cs="Arial" w:eastAsia="Arial" w:hAnsi="Arial"/>
          <w:sz w:val="18"/>
          <w:szCs w:val="18"/>
          <w:u w:val="single" w:color="auto"/>
          <w:color w:val="auto"/>
        </w:rPr>
        <w:t>Sections 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19</w:t>
      </w:r>
      <w:r>
        <w:rPr>
          <w:rFonts w:ascii="Arial" w:cs="Arial" w:eastAsia="Arial" w:hAnsi="Arial"/>
          <w:sz w:val="18"/>
          <w:szCs w:val="18"/>
          <w:color w:val="auto"/>
        </w:rPr>
        <w:t xml:space="preserve"> excepted.</w:t>
      </w:r>
    </w:p>
    <w:p>
      <w:pPr>
        <w:spacing w:after="0" w:line="198" w:lineRule="exact"/>
        <w:rPr>
          <w:sz w:val="20"/>
          <w:szCs w:val="20"/>
          <w:color w:val="auto"/>
        </w:rPr>
      </w:pPr>
    </w:p>
    <w:p>
      <w:pPr>
        <w:ind w:right="60" w:firstLine="400"/>
        <w:spacing w:after="0" w:line="236" w:lineRule="auto"/>
        <w:rPr>
          <w:sz w:val="20"/>
          <w:szCs w:val="20"/>
          <w:color w:val="auto"/>
        </w:rPr>
      </w:pPr>
      <w:r>
        <w:rPr>
          <w:rFonts w:ascii="Arial" w:cs="Arial" w:eastAsia="Arial" w:hAnsi="Arial"/>
          <w:sz w:val="18"/>
          <w:szCs w:val="18"/>
          <w:color w:val="auto"/>
        </w:rPr>
        <w:t xml:space="preserve">Tenant shall immediately return to Landlord all keys and/or access cards to parking, the Project, restrooms or all or any portion of the Premises furnished to or otherwise procured by Tenant. If any such access card or key is lost, Tenant shall pay to Landlord, at Landlord’s election, either the cost of replacing such lost access card or key or the cost of reprogramming the access security system in which such access card was used or changing the lock or locks opened by such lost key. Any Tenant’s Property, Alterations and property not so removed by Tenant as permitted or required herein shall be deemed abandoned and may be stored, removed, and disposed of by Landlord at Tenant’s expense, and Tenant waives all claims against Landlord for any damages resulting from Landlord’s retention and/or disposition of such property. All obligations of Tenant hereunder not fully performed as of the termination of the Term, including the obligations of Tenant under </w:t>
      </w:r>
      <w:r>
        <w:rPr>
          <w:rFonts w:ascii="Arial" w:cs="Arial" w:eastAsia="Arial" w:hAnsi="Arial"/>
          <w:sz w:val="18"/>
          <w:szCs w:val="18"/>
          <w:u w:val="single" w:color="auto"/>
          <w:color w:val="auto"/>
        </w:rPr>
        <w:t>Section 30</w:t>
      </w:r>
      <w:r>
        <w:rPr>
          <w:rFonts w:ascii="Arial" w:cs="Arial" w:eastAsia="Arial" w:hAnsi="Arial"/>
          <w:sz w:val="18"/>
          <w:szCs w:val="18"/>
          <w:color w:val="auto"/>
        </w:rPr>
        <w:t xml:space="preserve"> hereof, shall survive the expiration or earlier termination of the Term, including, without limitation, indemnity obligations, payment obligations with respect to Rent and obligations concerning the condition and repair of the Premises.</w:t>
      </w:r>
    </w:p>
    <w:p>
      <w:pPr>
        <w:spacing w:after="0" w:line="185" w:lineRule="exact"/>
        <w:rPr>
          <w:sz w:val="20"/>
          <w:szCs w:val="20"/>
          <w:color w:val="auto"/>
        </w:rPr>
      </w:pPr>
    </w:p>
    <w:p>
      <w:pPr>
        <w:jc w:val="both"/>
        <w:ind w:right="200" w:firstLine="8"/>
        <w:spacing w:after="0" w:line="247" w:lineRule="auto"/>
        <w:tabs>
          <w:tab w:leader="none" w:pos="30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 TO THE EXTENT PERMITTED BY LAW, TENANT AND LANDLORD WAIVE ANY RIGHT TO TRIAL BY JURY</w:t>
      </w:r>
      <w:r>
        <w:rPr>
          <w:rFonts w:ascii="Arial" w:cs="Arial" w:eastAsia="Arial" w:hAnsi="Arial"/>
          <w:sz w:val="18"/>
          <w:szCs w:val="18"/>
          <w:b w:val="1"/>
          <w:bCs w:val="1"/>
          <w:color w:val="auto"/>
        </w:rPr>
        <w:t xml:space="preserve"> </w:t>
      </w:r>
      <w:r>
        <w:rPr>
          <w:rFonts w:ascii="Arial" w:cs="Arial" w:eastAsia="Arial" w:hAnsi="Arial"/>
          <w:sz w:val="18"/>
          <w:szCs w:val="18"/>
          <w:color w:val="auto"/>
        </w:rPr>
        <w:t>OR TO HAVE A JURY PARTICIPATE IN RESOLVING ANY DISPUTE, WHETHER SOUNDING IN CONTRACT, TORT, OR OTHERWISE, BETWEEN LANDLORD AND TENANT ARISING OUT OF THIS LEASE OR ANY OTHER INSTRUMENT, DOCUMENT, OR AGREEMENT EXECUTED OR DELIVERED IN CONNECTION HEREWITH OR THE TRANSACTIONS RELATED HERETO.</w:t>
      </w:r>
    </w:p>
    <w:p>
      <w:pPr>
        <w:spacing w:after="0" w:line="173" w:lineRule="exact"/>
        <w:rPr>
          <w:rFonts w:ascii="Arial" w:cs="Arial" w:eastAsia="Arial" w:hAnsi="Arial"/>
          <w:sz w:val="18"/>
          <w:szCs w:val="18"/>
          <w:color w:val="auto"/>
        </w:rPr>
      </w:pPr>
    </w:p>
    <w:p>
      <w:pPr>
        <w:ind w:left="300" w:hanging="292"/>
        <w:spacing w:after="0"/>
        <w:tabs>
          <w:tab w:leader="none" w:pos="30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Environmental Requirements</w:t>
      </w:r>
      <w:r>
        <w:rPr>
          <w:rFonts w:ascii="Arial" w:cs="Arial" w:eastAsia="Arial" w:hAnsi="Arial"/>
          <w:sz w:val="18"/>
          <w:szCs w:val="18"/>
          <w:color w:val="auto"/>
        </w:rPr>
        <w:t>.</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Prohibition/Compliance</w:t>
      </w:r>
      <w:r>
        <w:rPr>
          <w:rFonts w:ascii="Arial" w:cs="Arial" w:eastAsia="Arial" w:hAnsi="Arial"/>
          <w:sz w:val="18"/>
          <w:szCs w:val="18"/>
          <w:color w:val="auto"/>
        </w:rPr>
        <w:t>. Except for Hazardous Material contained in products customarily used by tenants in de minimis quantities for ordinary cleaning and office purposes, Tenant shall not permit or cause any party to bring any Hazardous Material upon the Premises or the Project or use, store, handle, treat, generate, manufacture, transport, release or dispose of any Hazardous Material in, on or from the Premises or the Project without Landlord’s prior written consent which may be withheld in Landlord’s sole discretion. Tenant, at its sole cost and expense, shall operate its business in the Premises in strict compliance with all Environmental Requirements and shall remove or remediate in a manner satisfactory to Landlord any Hazardous Materials released on or from the Project by Tenant or any Tenant Party. Tenant shall complete and certify disclosure statements as requested by Landlord from time to time relating to Tenant’s use, storage, handling, treatment, generation, manufacture, transportation, release or disposal of Hazardous Materials on or from the Premises. The term “</w:t>
      </w:r>
      <w:r>
        <w:rPr>
          <w:rFonts w:ascii="Arial" w:cs="Arial" w:eastAsia="Arial" w:hAnsi="Arial"/>
          <w:sz w:val="18"/>
          <w:szCs w:val="18"/>
          <w:b w:val="1"/>
          <w:bCs w:val="1"/>
          <w:color w:val="auto"/>
        </w:rPr>
        <w:t>Environmental Requirements</w:t>
      </w:r>
      <w:r>
        <w:rPr>
          <w:rFonts w:ascii="Arial" w:cs="Arial" w:eastAsia="Arial" w:hAnsi="Arial"/>
          <w:sz w:val="18"/>
          <w:szCs w:val="18"/>
          <w:color w:val="auto"/>
        </w:rPr>
        <w:t>” means all applicable present and future statutes, regulations, ordinances, rules, codes, judgments, orders or other similar enactments of any Governmental Authority regulating or relating to health, safety, or environmental conditions on, under, or about the Premises or the Project, or the environment, including without limitation, the following: the Comprehensive Environmental Response, Compensation and Liability Act; the Resource Conservation and Recovery Act; and all state and local counterparts thereto, and any regulations or policies promulgated or issued thereunder. The term “</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and includes any substance, material, waste, pollutant, or contaminant listed or defined as hazardous or toxic, or regulated by reason of its impact or potential impact on humans, animals and/or the environment under any Environmental Requirements, asbestos and petroleum, including crude oil or any fraction thereof, natural gas liquids, liquefied natural gas, or synthetic gas usable for fuel (or mixtures of natural gas and such synthetic gas). As defined in Environmental Requirements, Tenant is and shall be deemed to be the “</w:t>
      </w:r>
      <w:r>
        <w:rPr>
          <w:rFonts w:ascii="Arial" w:cs="Arial" w:eastAsia="Arial" w:hAnsi="Arial"/>
          <w:sz w:val="18"/>
          <w:szCs w:val="18"/>
          <w:b w:val="1"/>
          <w:bCs w:val="1"/>
          <w:color w:val="auto"/>
        </w:rPr>
        <w:t>operator</w:t>
      </w:r>
      <w:r>
        <w:rPr>
          <w:rFonts w:ascii="Arial" w:cs="Arial" w:eastAsia="Arial" w:hAnsi="Arial"/>
          <w:sz w:val="18"/>
          <w:szCs w:val="18"/>
          <w:color w:val="auto"/>
        </w:rPr>
        <w:t>” of Tenant’s “</w:t>
      </w:r>
      <w:r>
        <w:rPr>
          <w:rFonts w:ascii="Arial" w:cs="Arial" w:eastAsia="Arial" w:hAnsi="Arial"/>
          <w:sz w:val="18"/>
          <w:szCs w:val="18"/>
          <w:b w:val="1"/>
          <w:bCs w:val="1"/>
          <w:color w:val="auto"/>
        </w:rPr>
        <w:t>facility</w:t>
      </w:r>
      <w:r>
        <w:rPr>
          <w:rFonts w:ascii="Arial" w:cs="Arial" w:eastAsia="Arial" w:hAnsi="Arial"/>
          <w:sz w:val="18"/>
          <w:szCs w:val="18"/>
          <w:color w:val="auto"/>
        </w:rPr>
        <w:t>” and the “</w:t>
      </w:r>
      <w:r>
        <w:rPr>
          <w:rFonts w:ascii="Arial" w:cs="Arial" w:eastAsia="Arial" w:hAnsi="Arial"/>
          <w:sz w:val="18"/>
          <w:szCs w:val="18"/>
          <w:b w:val="1"/>
          <w:bCs w:val="1"/>
          <w:color w:val="auto"/>
        </w:rPr>
        <w:t>owner</w:t>
      </w:r>
      <w:r>
        <w:rPr>
          <w:rFonts w:ascii="Arial" w:cs="Arial" w:eastAsia="Arial" w:hAnsi="Arial"/>
          <w:sz w:val="18"/>
          <w:szCs w:val="18"/>
          <w:color w:val="auto"/>
        </w:rPr>
        <w:t>” of all Hazardous Materials brought on the Premises by Tenant or any Tenant Party, and the wastes, by-products, or residues generated, resulting, or produced therefrom.</w:t>
      </w:r>
    </w:p>
    <w:p>
      <w:pPr>
        <w:spacing w:after="0" w:line="18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Indemnity</w:t>
      </w:r>
      <w:r>
        <w:rPr>
          <w:rFonts w:ascii="Arial" w:cs="Arial" w:eastAsia="Arial" w:hAnsi="Arial"/>
          <w:sz w:val="18"/>
          <w:szCs w:val="18"/>
          <w:color w:val="auto"/>
        </w:rPr>
        <w:t>. Tenant hereby indemnifies and shall defend and hold Landlord, its officers, directors, employees, agents and contractors harmless from any and all actions (including, without limitation, remedial or enforcement actions of any kind, administrative or judicial proceedings, and orders or judgments arising out of or resulting therefrom), costs, claims, damages (including, without limitation, punitive damages and damages based upon diminution in value of the Premises or the Project, or the loss of, or restriction on, use of the Premises or any portion of the Project), expenses (including, without limitation, attorneys’, consultants’ and experts’ fees, court costs and amounts paid in settlement of any claims or actions), fines, forfeitures or other civil, administrative or criminal penalties, injunctive or other relief (whether or not based upon personal injury, property damage, or contamination of, or adverse effects upon, the environment, water tables or natural resources), liabilities or losses which arise during or after the Term as a result of such contamination. This indemnification of Landlord by Tenant includes, without limitation, costs incurred in connection with any investigation of site conditions or any cleanup, remedial, removal, or restoration work required by any federal, state or local Governmental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77" w:name="page178"/>
    <w:bookmarkEnd w:id="177"/>
    <w:p>
      <w:pPr>
        <w:ind w:right="60"/>
        <w:spacing w:after="0" w:line="248" w:lineRule="auto"/>
        <w:rPr>
          <w:sz w:val="20"/>
          <w:szCs w:val="20"/>
          <w:color w:val="auto"/>
        </w:rPr>
      </w:pPr>
      <w:r>
        <w:rPr>
          <w:rFonts w:ascii="Arial" w:cs="Arial" w:eastAsia="Arial" w:hAnsi="Arial"/>
          <w:sz w:val="17"/>
          <w:szCs w:val="17"/>
          <w:color w:val="auto"/>
        </w:rPr>
        <w:t xml:space="preserve">because of Hazardous Materials present in the air, soil or ground water above, on, or under the Premises. Without limiting the foregoing, if the presence of any Hazardous Materials on the Premises, the Building, the Project or any adjacent property caused or permitted by Tenant or any Tenant Party results in any contamination of the Premises, the Building, the Project or any adjacent property, Tenant shall promptly take all actions at its sole expense and in accordance with applicable law as are necessary to return the Premises, the Building, the Project or any adjacent property to the condition existing prior to the time of such contamination, provided that Landlord’s approval of such action shall first be obtained, which approval shall not unreasonably be withheld so long as such actions would not potentially have any material adverse long-term or short-term effect on the Premises, the Building or the Project. Notwithstanding anything to the contrary contained in this </w:t>
      </w:r>
      <w:r>
        <w:rPr>
          <w:rFonts w:ascii="Arial" w:cs="Arial" w:eastAsia="Arial" w:hAnsi="Arial"/>
          <w:sz w:val="17"/>
          <w:szCs w:val="17"/>
          <w:u w:val="single" w:color="auto"/>
          <w:color w:val="auto"/>
        </w:rPr>
        <w:t>Section 30</w:t>
      </w:r>
      <w:r>
        <w:rPr>
          <w:rFonts w:ascii="Arial" w:cs="Arial" w:eastAsia="Arial" w:hAnsi="Arial"/>
          <w:sz w:val="17"/>
          <w:szCs w:val="17"/>
          <w:color w:val="auto"/>
        </w:rPr>
        <w:t>, Tenant shall not be responsible for, and the indemnification and hold harmless obligation set forth in this paragraph shall not apply to (i) contamination in the Premises which Tenant can prove existed in the Premises immediately prior to the Commencement Date, or</w:t>
      </w:r>
    </w:p>
    <w:p>
      <w:pPr>
        <w:spacing w:after="0" w:line="5" w:lineRule="exact"/>
        <w:rPr>
          <w:sz w:val="20"/>
          <w:szCs w:val="20"/>
          <w:color w:val="auto"/>
        </w:rPr>
      </w:pPr>
    </w:p>
    <w:p>
      <w:pPr>
        <w:ind w:right="340" w:firstLine="8"/>
        <w:spacing w:after="0"/>
        <w:tabs>
          <w:tab w:leader="none" w:pos="25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presence of any Hazardous Materials in the Premises which Tenant can prove migrated from outside of the Premises into the Premises, unless in either case, the presence of such Hazardous Materials (x) is the result of a breach by Tenant of any of its obligations under this Lease, or (y) was caused, contributed to or exacerbated by Tenant or any Tenant Party.</w:t>
      </w:r>
    </w:p>
    <w:p>
      <w:pPr>
        <w:spacing w:after="0" w:line="18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Testing</w:t>
      </w:r>
      <w:r>
        <w:rPr>
          <w:rFonts w:ascii="Arial" w:cs="Arial" w:eastAsia="Arial" w:hAnsi="Arial"/>
          <w:sz w:val="18"/>
          <w:szCs w:val="18"/>
          <w:color w:val="auto"/>
        </w:rPr>
        <w:t xml:space="preserve">. Landlord shall have the right to conduct annual tests of the Premises to determine whether any contamination of the Premises or the Project has occurred as a result of Tenant’s use. Tenant shall be required to pay the cost of such annual test of the Premises if there is violation of this </w:t>
      </w:r>
      <w:r>
        <w:rPr>
          <w:rFonts w:ascii="Arial" w:cs="Arial" w:eastAsia="Arial" w:hAnsi="Arial"/>
          <w:sz w:val="18"/>
          <w:szCs w:val="18"/>
          <w:u w:val="single" w:color="auto"/>
          <w:color w:val="auto"/>
        </w:rPr>
        <w:t>Section 30</w:t>
      </w:r>
      <w:r>
        <w:rPr>
          <w:rFonts w:ascii="Arial" w:cs="Arial" w:eastAsia="Arial" w:hAnsi="Arial"/>
          <w:sz w:val="18"/>
          <w:szCs w:val="18"/>
          <w:color w:val="auto"/>
        </w:rPr>
        <w:t xml:space="preserve"> or if contamination for which Tenant is responsible under this </w:t>
      </w:r>
      <w:r>
        <w:rPr>
          <w:rFonts w:ascii="Arial" w:cs="Arial" w:eastAsia="Arial" w:hAnsi="Arial"/>
          <w:sz w:val="18"/>
          <w:szCs w:val="18"/>
          <w:u w:val="single" w:color="auto"/>
          <w:color w:val="auto"/>
        </w:rPr>
        <w:t>Section 30</w:t>
      </w:r>
      <w:r>
        <w:rPr>
          <w:rFonts w:ascii="Arial" w:cs="Arial" w:eastAsia="Arial" w:hAnsi="Arial"/>
          <w:sz w:val="18"/>
          <w:szCs w:val="18"/>
          <w:color w:val="auto"/>
        </w:rPr>
        <w:t xml:space="preserve"> is identified; provided, however, that if Tenant conducts its own tests of the Premises using third party contractors and test procedures acceptable to Landlord which tests are certified to Landlord, Landlord shall accept such tests in lieu of the annual tests to be paid for by Tenant. In addition, at any time, and from time to time, prior to the expiration or earlier termination of the Term, Landlord shall have the right to conduct appropriate tests of the Premises and the Project to determine if contamination has occurred as a result of Tenant’s use of the Premises. In connection with such testing, upon the request of Landlord, Tenant shall deliver to Landlord or its consultant such non-proprietary information concerning the use of Hazardous Materials in or about the Premises by Tenant or any Tenant Party. If contamination has occurred for which Tenant is liable under this Section 30, Tenant shall pay all costs to conduct such tests. If no such contamination is found, Landlord shall pay the costs of such tests (which shall not constitute an Operating Expense). Landlord shall provide Tenant with a copy of all third party, non-confidential reports and tests of the Premises made by or on behalf of Landlord during the Term without representation or warranty and subject to a confidentiality agreement. Tenant shall, at its sole cost and expense, promptly and satisfactorily remediate any environmental conditions identified by such testing in accordance with all Environmental Requirements. Landlord’s receipt of or satisfaction with any environmental assessment in no way waives any rights which Landlord may have against Tenant.</w:t>
      </w:r>
    </w:p>
    <w:p>
      <w:pPr>
        <w:spacing w:after="0" w:line="188"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color w:val="auto"/>
        </w:rPr>
        <w:t>Tenant’s Obligations</w:t>
      </w:r>
      <w:r>
        <w:rPr>
          <w:rFonts w:ascii="Arial" w:cs="Arial" w:eastAsia="Arial" w:hAnsi="Arial"/>
          <w:sz w:val="18"/>
          <w:szCs w:val="18"/>
          <w:color w:val="auto"/>
        </w:rPr>
        <w:t xml:space="preserve">. Tenant’s obligations under this </w:t>
      </w:r>
      <w:r>
        <w:rPr>
          <w:rFonts w:ascii="Arial" w:cs="Arial" w:eastAsia="Arial" w:hAnsi="Arial"/>
          <w:sz w:val="18"/>
          <w:szCs w:val="18"/>
          <w:u w:val="single" w:color="auto"/>
          <w:color w:val="auto"/>
        </w:rPr>
        <w:t>Section 30</w:t>
      </w:r>
      <w:r>
        <w:rPr>
          <w:rFonts w:ascii="Arial" w:cs="Arial" w:eastAsia="Arial" w:hAnsi="Arial"/>
          <w:sz w:val="18"/>
          <w:szCs w:val="18"/>
          <w:color w:val="auto"/>
        </w:rPr>
        <w:t xml:space="preserve"> shall survive the expiration or earlier termination of this Lease. During any period of time after the expiration or earlier termination of this Lease required by Tenant or Landlord to complete the removal from the Premises of any Hazardous Materials, Tenant shall continue to pay the full Rent in accordance with this Lease for any portion of the Premises not relet by Landlord in Landlord’s sole discretion, which Rent shall be prorated daily.</w:t>
      </w:r>
    </w:p>
    <w:p>
      <w:pPr>
        <w:spacing w:after="0" w:line="174" w:lineRule="exact"/>
        <w:rPr>
          <w:sz w:val="20"/>
          <w:szCs w:val="20"/>
          <w:color w:val="auto"/>
        </w:rPr>
      </w:pPr>
    </w:p>
    <w:p>
      <w:pPr>
        <w:ind w:right="40" w:firstLine="8"/>
        <w:spacing w:after="0" w:line="239" w:lineRule="auto"/>
        <w:tabs>
          <w:tab w:leader="none" w:pos="30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Tenant’s Remedies/Limitation of Liability</w:t>
      </w:r>
      <w:r>
        <w:rPr>
          <w:rFonts w:ascii="Arial" w:cs="Arial" w:eastAsia="Arial" w:hAnsi="Arial"/>
          <w:sz w:val="18"/>
          <w:szCs w:val="18"/>
          <w:color w:val="auto"/>
        </w:rPr>
        <w:t>. Landlord shall not be in default hereunder unless Landlord fails to perform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obligations hereunder within 30 days after written notice from Tenant specifying such failure (unless such performance will, due to the nature of the obligation, require a period of time in excess of 30 days, then after such period of time as is reasonably necessary). Upon any default by Landlord, Tenant shall give notice by registered or certified mail to any Holder of a Mortgage covering the Premises and to any landlord of any lease of property in or on which the Premises are located and Tenant shall offer such Holder and/or landlord a reasonable opportunity to cure the default, including time to obtain possession of the Project by power of sale or a judicial action if such should prove necessary to effect a cure;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Landlord shall have furnished to Tenant in writing the names and addresses of all such persons who are to receive such notices. All obligations of Landlord hereunder shall be construed as covenants, not conditions; and, except as may be otherwise expressly provided in this Lease, Tenant may not terminate this Lease for breach of Landlord’s obligations hereunder.</w:t>
      </w:r>
    </w:p>
    <w:p>
      <w:pPr>
        <w:spacing w:after="0" w:line="205" w:lineRule="exact"/>
        <w:rPr>
          <w:sz w:val="20"/>
          <w:szCs w:val="20"/>
          <w:color w:val="auto"/>
        </w:rPr>
      </w:pPr>
    </w:p>
    <w:p>
      <w:pPr>
        <w:ind w:right="40" w:firstLine="600"/>
        <w:spacing w:after="0" w:line="238" w:lineRule="auto"/>
        <w:rPr>
          <w:sz w:val="20"/>
          <w:szCs w:val="20"/>
          <w:color w:val="auto"/>
        </w:rPr>
      </w:pPr>
      <w:r>
        <w:rPr>
          <w:rFonts w:ascii="Arial" w:cs="Arial" w:eastAsia="Arial" w:hAnsi="Arial"/>
          <w:sz w:val="18"/>
          <w:szCs w:val="18"/>
          <w:color w:val="auto"/>
        </w:rPr>
        <w:t>All obligations of Landlord under this Lease will be binding upon Landlord only during the period of its ownership of the Premises and not thereafter. The term “</w:t>
      </w:r>
      <w:r>
        <w:rPr>
          <w:rFonts w:ascii="Arial" w:cs="Arial" w:eastAsia="Arial" w:hAnsi="Arial"/>
          <w:sz w:val="18"/>
          <w:szCs w:val="18"/>
          <w:b w:val="1"/>
          <w:bCs w:val="1"/>
          <w:color w:val="auto"/>
        </w:rPr>
        <w:t>Landlord</w:t>
      </w:r>
      <w:r>
        <w:rPr>
          <w:rFonts w:ascii="Arial" w:cs="Arial" w:eastAsia="Arial" w:hAnsi="Arial"/>
          <w:sz w:val="18"/>
          <w:szCs w:val="18"/>
          <w:color w:val="auto"/>
        </w:rPr>
        <w:t>” in this Lease shall mean only the owner for the time being of the Premises. Upon the transfer by such owner of its interest in the Premises, such owner shall thereupon be released and discharged from all obligations of Landlord thereafter accruing, but such obligations shall be binding during the Term upon each new owner for the duration of such owner’s ownership.</w:t>
      </w:r>
    </w:p>
    <w:p>
      <w:pPr>
        <w:spacing w:after="0" w:line="183" w:lineRule="exact"/>
        <w:rPr>
          <w:sz w:val="20"/>
          <w:szCs w:val="20"/>
          <w:color w:val="auto"/>
        </w:rPr>
      </w:pPr>
    </w:p>
    <w:p>
      <w:pPr>
        <w:ind w:right="240" w:firstLine="8"/>
        <w:spacing w:after="0" w:line="271" w:lineRule="auto"/>
        <w:tabs>
          <w:tab w:leader="none" w:pos="30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Inspection and Access</w:t>
      </w:r>
      <w:r>
        <w:rPr>
          <w:rFonts w:ascii="Arial" w:cs="Arial" w:eastAsia="Arial" w:hAnsi="Arial"/>
          <w:sz w:val="18"/>
          <w:szCs w:val="18"/>
          <w:color w:val="auto"/>
        </w:rPr>
        <w:t>. Landlord and its agents, representatives, and contractors may enter the Premises at any reasonable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inspect the Premises and to make such repairs as may be required or permitted pursuant to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78" w:name="page179"/>
    <w:bookmarkEnd w:id="178"/>
    <w:p>
      <w:pPr>
        <w:ind w:right="100"/>
        <w:spacing w:after="0" w:line="236" w:lineRule="auto"/>
        <w:rPr>
          <w:sz w:val="20"/>
          <w:szCs w:val="20"/>
          <w:color w:val="auto"/>
        </w:rPr>
      </w:pPr>
      <w:r>
        <w:rPr>
          <w:rFonts w:ascii="Arial" w:cs="Arial" w:eastAsia="Arial" w:hAnsi="Arial"/>
          <w:sz w:val="18"/>
          <w:szCs w:val="18"/>
          <w:color w:val="auto"/>
        </w:rPr>
        <w:t xml:space="preserve">and for any other business purpose. Landlord and Landlord’s representatives may enter the Premises during business hours on not less than 48 hours advance written notice (except in the case of emergencies in which case no such notice shall be required and such entry may be at any time) for the purpose of effecting any such repairs, inspecting the Premises, showing the Premises to prospective purchasers and, during the last 18 months of the Term, to prospective tenants or for any other business purpose. Landlord may erect a suitable sign on the Premises stating the Premises are available to let or that the Project is available for sale. Landlord may grant easements, make public dedications, designate Common Areas and create restrictions on or about the Premises,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easement, dedication, designation or restriction materially, adversely affects Tenant’s use or occupancy of the Premises for the Permitted Use. At Landlord’s request, Tenant shall execute such instruments as may be necessary for such easements, dedications or restrictions. Tenant shall at all times, except in the case of emergencies, have the right to escort Landlord or its agents, representatives, contractors or guests while the same are in the Premises, provided such escort does not materially and adversely affect Landlord’s access rights hereunder.</w:t>
      </w:r>
    </w:p>
    <w:p>
      <w:pPr>
        <w:spacing w:after="0" w:line="184" w:lineRule="exact"/>
        <w:rPr>
          <w:sz w:val="20"/>
          <w:szCs w:val="20"/>
          <w:color w:val="auto"/>
        </w:rPr>
      </w:pPr>
    </w:p>
    <w:p>
      <w:pPr>
        <w:ind w:right="40" w:firstLine="8"/>
        <w:spacing w:after="0"/>
        <w:tabs>
          <w:tab w:leader="none" w:pos="30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Tenant acknowledges and agrees that security devices and services, if any, while intended to deter crime may not in given</w:t>
      </w:r>
      <w:r>
        <w:rPr>
          <w:rFonts w:ascii="Arial" w:cs="Arial" w:eastAsia="Arial" w:hAnsi="Arial"/>
          <w:sz w:val="18"/>
          <w:szCs w:val="18"/>
          <w:b w:val="1"/>
          <w:bCs w:val="1"/>
          <w:color w:val="auto"/>
        </w:rPr>
        <w:t xml:space="preserve"> </w:t>
      </w:r>
      <w:r>
        <w:rPr>
          <w:rFonts w:ascii="Arial" w:cs="Arial" w:eastAsia="Arial" w:hAnsi="Arial"/>
          <w:sz w:val="18"/>
          <w:szCs w:val="18"/>
          <w:color w:val="auto"/>
        </w:rPr>
        <w:t>instances prevent theft or other criminal acts and that Landlord is not providing any security services with respect to the Premises. Tenant agrees that Landlord shall not be liable to Tenant for, and Tenant waives any claim against Landlord with respect to, any loss by theft or any other damage suffered or incurred by Tenant in connection with any unauthorized entry into the Premises or any other breach of security with respect to the Premises. Tenant shall be solely responsible for the personal safety of Tenant’s officers, employees, agents, contractors, guests and invitees while any such person is in, on or about the Premises and/or the Project. Tenant shall at Tenant’s cost obtain insurance coverage to the extent Tenant desires protection against such criminal acts.</w:t>
      </w:r>
    </w:p>
    <w:p>
      <w:pPr>
        <w:spacing w:after="0" w:line="184" w:lineRule="exact"/>
        <w:rPr>
          <w:rFonts w:ascii="Arial" w:cs="Arial" w:eastAsia="Arial" w:hAnsi="Arial"/>
          <w:sz w:val="18"/>
          <w:szCs w:val="18"/>
          <w:color w:val="auto"/>
        </w:rPr>
      </w:pPr>
    </w:p>
    <w:p>
      <w:pPr>
        <w:ind w:firstLine="8"/>
        <w:spacing w:after="0"/>
        <w:tabs>
          <w:tab w:leader="none" w:pos="30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Force Majeure</w:t>
      </w:r>
      <w:r>
        <w:rPr>
          <w:rFonts w:ascii="Arial" w:cs="Arial" w:eastAsia="Arial" w:hAnsi="Arial"/>
          <w:sz w:val="18"/>
          <w:szCs w:val="18"/>
          <w:color w:val="auto"/>
        </w:rPr>
        <w:t>. Except for the payment of Rent, neither Landlord nor Tenant shall be responsible or liable for delays in the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of its obligations hereunder when caused by, related to, or arising out of acts of God, sinkholes or subsidence, strikes, lockouts, or other labor disputes, embargoes, quarantines, weather, national, regional, or local disasters, calamities, or catastrophes, inability to obtain labor or materials (or reasonable substitutes therefor) at reasonable costs or failure of, or inability to obtain, utilities necessary for performance, governmental restrictions, orders, limitations, regulations, or controls, national emergencies, local, regional or national epidemic or pandemic, delay in issuance or revocation of permits, enemy or hostile governmental action, terrorism, insurrection, riots, civil disturbance or commotion, fire or other casualty, and other causes or events beyond their reasonable control (“</w:t>
      </w:r>
      <w:r>
        <w:rPr>
          <w:rFonts w:ascii="Arial" w:cs="Arial" w:eastAsia="Arial" w:hAnsi="Arial"/>
          <w:sz w:val="18"/>
          <w:szCs w:val="18"/>
          <w:b w:val="1"/>
          <w:bCs w:val="1"/>
          <w:color w:val="auto"/>
        </w:rPr>
        <w:t>Force Majeure</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300" w:hanging="292"/>
        <w:spacing w:after="0"/>
        <w:tabs>
          <w:tab w:leader="none" w:pos="30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Brokers</w:t>
      </w:r>
      <w:r>
        <w:rPr>
          <w:rFonts w:ascii="Arial" w:cs="Arial" w:eastAsia="Arial" w:hAnsi="Arial"/>
          <w:sz w:val="18"/>
          <w:szCs w:val="18"/>
          <w:color w:val="auto"/>
        </w:rPr>
        <w:t>. Landlord and Tenant each represents and warrants that it has not dealt with any broker, agent or other person (collectively,</w:t>
      </w:r>
    </w:p>
    <w:p>
      <w:pPr>
        <w:spacing w:after="0" w:line="1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Broker</w:t>
      </w:r>
      <w:r>
        <w:rPr>
          <w:rFonts w:ascii="Arial" w:cs="Arial" w:eastAsia="Arial" w:hAnsi="Arial"/>
          <w:sz w:val="18"/>
          <w:szCs w:val="18"/>
          <w:color w:val="auto"/>
        </w:rPr>
        <w:t>”) in connection with this transaction and that no Broker brought about this transaction other than Newmark and CBRE. Landlord and Tenant each hereby agree to indemnify and hold the other harmless from and against any claims by any Broker, other than Newmark and CBRE, claiming a commission or other form of compensation by virtue of having dealt with Tenant or Landlord, as applicable, with regard to this leasing transaction.</w:t>
      </w:r>
    </w:p>
    <w:p>
      <w:pPr>
        <w:spacing w:after="0" w:line="183" w:lineRule="exact"/>
        <w:rPr>
          <w:sz w:val="20"/>
          <w:szCs w:val="20"/>
          <w:color w:val="auto"/>
        </w:rPr>
      </w:pPr>
    </w:p>
    <w:p>
      <w:pPr>
        <w:ind w:right="20" w:firstLine="8"/>
        <w:spacing w:after="0" w:line="237" w:lineRule="auto"/>
        <w:tabs>
          <w:tab w:leader="none" w:pos="30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Limitation on Landlord’s Liability</w:t>
      </w:r>
      <w:r>
        <w:rPr>
          <w:rFonts w:ascii="Arial" w:cs="Arial" w:eastAsia="Arial" w:hAnsi="Arial"/>
          <w:sz w:val="18"/>
          <w:szCs w:val="18"/>
          <w:color w:val="auto"/>
        </w:rPr>
        <w:t>. NOTWITHSTANDING ANYTHING SET FORTH HEREIN OR IN ANY OTHER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LANDLORD AND TENANT TO THE CONTRARY: (A) LANDLORD SHALL NOT BE LIABLE TO TENANT OR ANY OTHER PERSON FOR (AND TENANT AND EACH SUCH OTHER PERSON ASSUME ALL RISK OF) LOSS, DAMAGE OR INJURY, WHETHER ACTUAL OR CONSEQUENTIAL TO: TENANT’S PERSONAL PROPERTY OF EVERY KIND AND DESCRIPTION, INCLUDING, WITHOUT LIMITATION TRADE FIXTURES, EQUIPMENT, INVENTORY, SCIENTIFIC RESEARCH, SCIENTIFIC EXPERIMENTS, LABORATORY ANIMALS, PRODUCT, SPECIMENS, SAMPLES, AND/OR SCIENTIFIC, BUSINESS, ACCOUNTING AND OTHER RECORDS OF EVERY KIND AND DESCRIPTION KEPT AT THE PREMISES AND ANY AND ALL INCOME DERIVED OR DERIVABLE THEREFROM; (B) THERE SHALL BE NO PERSONAL RECOURSE TO LANDLORD FOR ANY ACT OR OCCURRENCE IN, ON OR ABOUT THE PREMISES OR ARISING IN ANY WAY UNDER THIS LEASE OR ANY OTHER AGREEMENT BETWEEN LANDLORD AND TENANT WITH RESPECT TO THE SUBJECT MATTER HEREOF AND ANY LIABILITY OF LANDLORD HEREUNDER SHALL BE STRICTLY LIMITED SOLELY TO LANDLORD’S INTEREST IN THE PROJECT OR ANY PROCEEDS FROM SALE OR CONDEMNATION THEREOF AND ANY INSURANCE PROCEEDS PAYABLE IN RESPECT OF LANDLORD’S INTEREST IN THE PROJECT OR IN CONNECTION WITH ANY SUCH LOSS; AND (C) IN NO EVENT SHALL ANY PERSONAL LIABILITY BE ASSERTED AGAINST LANDLORD IN CONNECTION WITH THIS LEASE NOR SHALL ANY RECOURSE BE HAD TO ANY OTHER PROPERTY OR ASSETS OF LANDLORD OR ANY OF LANDLORD’S OFFICERS, DIRECTORS, EMPLOYEES, AGENTS OR CONTRACTORS. UNDER NO CIRCUMSTANCES SHALL LANDLORD OR ANY OF LANDLORD’S OFFICERS, DIRECTORS, EMPLOYEES, AGENTS OR CONTRACTORS BE LIABLE FOR INJURY TO TENANT’S BUSINESS OR FOR ANY LOSS OF INCOME OR PROFIT THEREFROM.</w:t>
      </w:r>
    </w:p>
    <w:p>
      <w:pPr>
        <w:spacing w:after="0" w:line="206" w:lineRule="exact"/>
        <w:rPr>
          <w:sz w:val="20"/>
          <w:szCs w:val="20"/>
          <w:color w:val="auto"/>
        </w:rPr>
      </w:pPr>
    </w:p>
    <w:p>
      <w:pPr>
        <w:ind w:right="480" w:firstLine="509"/>
        <w:spacing w:after="0" w:line="246" w:lineRule="auto"/>
        <w:rPr>
          <w:sz w:val="20"/>
          <w:szCs w:val="20"/>
          <w:color w:val="auto"/>
        </w:rPr>
      </w:pPr>
      <w:r>
        <w:rPr>
          <w:rFonts w:ascii="Arial" w:cs="Arial" w:eastAsia="Arial" w:hAnsi="Arial"/>
          <w:sz w:val="18"/>
          <w:szCs w:val="18"/>
          <w:color w:val="auto"/>
        </w:rPr>
        <w:t>Tenant acknowledges and agrees that measures and/or services implemented at the Project, if any, intended to encourage social distancing, promote and protect health and physical well-being and/or intended to limit the spread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9" w:name="page180"/>
    <w:bookmarkEnd w:id="179"/>
    <w:p>
      <w:pPr>
        <w:ind w:right="20"/>
        <w:spacing w:after="0" w:line="237" w:lineRule="auto"/>
        <w:rPr>
          <w:sz w:val="20"/>
          <w:szCs w:val="20"/>
          <w:color w:val="auto"/>
        </w:rPr>
      </w:pPr>
      <w:r>
        <w:rPr>
          <w:rFonts w:ascii="Arial" w:cs="Arial" w:eastAsia="Arial" w:hAnsi="Arial"/>
          <w:sz w:val="18"/>
          <w:szCs w:val="18"/>
          <w:color w:val="auto"/>
        </w:rPr>
        <w:t>Infectious Conditions, may not prevent the spread of such Infectious Conditions. Neither Landlord nor any Landlord Indemnified Parties shall have any liability and Tenant waives any claims against Landlord and the Landlord Indemnified Parties with respect to any loss, damage or injury in connection with (x) the implementation, or failure of Landlord or any Landlord Indemnified Parties to implement, any measures and/or services at the Project intended to encourage social distancing, promote and protect health and physical well-being and/or intended to limit the spread of Infectious Conditions, or (y) the failure of any measures and/or services implemented at the Project, if any, to limit the spread of any Infectious Conditions.</w:t>
      </w:r>
    </w:p>
    <w:p>
      <w:pPr>
        <w:spacing w:after="0" w:line="183" w:lineRule="exact"/>
        <w:rPr>
          <w:sz w:val="20"/>
          <w:szCs w:val="20"/>
          <w:color w:val="auto"/>
        </w:rPr>
      </w:pPr>
    </w:p>
    <w:p>
      <w:pPr>
        <w:ind w:right="120" w:firstLine="8"/>
        <w:spacing w:after="0" w:line="244" w:lineRule="auto"/>
        <w:tabs>
          <w:tab w:leader="none" w:pos="30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clause or provision of this Lease is illegal, invalid or unenforceable under present or future laws, then and in that</w:t>
      </w:r>
      <w:r>
        <w:rPr>
          <w:rFonts w:ascii="Arial" w:cs="Arial" w:eastAsia="Arial" w:hAnsi="Arial"/>
          <w:sz w:val="18"/>
          <w:szCs w:val="18"/>
          <w:b w:val="1"/>
          <w:bCs w:val="1"/>
          <w:color w:val="auto"/>
        </w:rPr>
        <w:t xml:space="preserve"> </w:t>
      </w:r>
      <w:r>
        <w:rPr>
          <w:rFonts w:ascii="Arial" w:cs="Arial" w:eastAsia="Arial" w:hAnsi="Arial"/>
          <w:sz w:val="18"/>
          <w:szCs w:val="18"/>
          <w:color w:val="auto"/>
        </w:rPr>
        <w:t>event, it is the intention of the parties hereto that the remainder of this Lease shall not be affected thereby. It is also the intention of the parties to this Lease that in lieu of each clause or provision of this Lease that is illegal, invalid or unenforceable, there be added, as a part of this Lease, a clause or provision as similar in effect to such illegal, invalid or unenforceable clause or provision as shall be legal, valid and enforceable.</w:t>
      </w:r>
    </w:p>
    <w:p>
      <w:pPr>
        <w:spacing w:after="0" w:line="176" w:lineRule="exact"/>
        <w:rPr>
          <w:rFonts w:ascii="Arial" w:cs="Arial" w:eastAsia="Arial" w:hAnsi="Arial"/>
          <w:sz w:val="18"/>
          <w:szCs w:val="18"/>
          <w:color w:val="auto"/>
        </w:rPr>
      </w:pPr>
    </w:p>
    <w:p>
      <w:pPr>
        <w:ind w:right="40" w:firstLine="8"/>
        <w:spacing w:after="0" w:line="239" w:lineRule="auto"/>
        <w:tabs>
          <w:tab w:leader="none" w:pos="30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Signs; Exterior Appearance</w:t>
      </w:r>
      <w:r>
        <w:rPr>
          <w:rFonts w:ascii="Arial" w:cs="Arial" w:eastAsia="Arial" w:hAnsi="Arial"/>
          <w:sz w:val="18"/>
          <w:szCs w:val="18"/>
          <w:color w:val="auto"/>
        </w:rPr>
        <w:t>. Tenant shall not, without the prior written consent of Landlord, which may be granted or withheld in</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Landlord’s sole discretion: (i) attach any awnings, exterior lights, decorations, balloons, flags, pennants, banners, painting or other projection to any outside wall of the Project, (ii) use any curtains, blinds, shades or screens other than Landlord’s standard window coverings, (iii) coat or otherwise sunscreen the interior or exterior of any windows, (iv) place any bottles, parcels, or other articles on the window sills, (v) place any equipment, furniture or other items of personal property on any exterior balcony, or (vi) paint, affix or exhibit on any part of the Premises or the Project any signs, notices, window or door lettering, placards, decorations, or advertising media of any type which can be viewed from the exterior of the Premises. Building standard suite entry signage and the directory tablet shall be inscribed, painted or affixed for Tenant by Landlord at the sole cost and expense of Landlord, and shall be of a size, color and type acceptable to Landlord. Nothing may be placed on the exterior of corridor walls or corridor doors other than Landlord’s standard lettering. The directory tablet shall be provided exclusively for the display of the name and location of tenants.</w:t>
      </w:r>
    </w:p>
    <w:p>
      <w:pPr>
        <w:spacing w:after="0" w:line="179" w:lineRule="exact"/>
        <w:rPr>
          <w:rFonts w:ascii="Arial" w:cs="Arial" w:eastAsia="Arial" w:hAnsi="Arial"/>
          <w:sz w:val="18"/>
          <w:szCs w:val="18"/>
          <w:color w:val="auto"/>
        </w:rPr>
      </w:pPr>
    </w:p>
    <w:p>
      <w:pPr>
        <w:ind w:left="300" w:hanging="292"/>
        <w:spacing w:after="0"/>
        <w:tabs>
          <w:tab w:leader="none" w:pos="30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Right to Extend Term</w:t>
      </w:r>
      <w:r>
        <w:rPr>
          <w:rFonts w:ascii="Arial" w:cs="Arial" w:eastAsia="Arial" w:hAnsi="Arial"/>
          <w:sz w:val="18"/>
          <w:szCs w:val="18"/>
          <w:color w:val="auto"/>
        </w:rPr>
        <w:t>. Tenant shall have the right to extend the Term of this Lease upon the following terms and conditions:</w:t>
      </w:r>
    </w:p>
    <w:p>
      <w:pPr>
        <w:spacing w:after="0" w:line="212"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Extension Rights</w:t>
      </w:r>
      <w:r>
        <w:rPr>
          <w:rFonts w:ascii="Arial" w:cs="Arial" w:eastAsia="Arial" w:hAnsi="Arial"/>
          <w:sz w:val="18"/>
          <w:szCs w:val="18"/>
          <w:color w:val="auto"/>
        </w:rPr>
        <w:t>. Tenant shall have 1 consecutive right (the “</w:t>
      </w:r>
      <w:r>
        <w:rPr>
          <w:rFonts w:ascii="Arial" w:cs="Arial" w:eastAsia="Arial" w:hAnsi="Arial"/>
          <w:sz w:val="18"/>
          <w:szCs w:val="18"/>
          <w:b w:val="1"/>
          <w:bCs w:val="1"/>
          <w:color w:val="auto"/>
        </w:rPr>
        <w:t>Extension Right</w:t>
      </w:r>
      <w:r>
        <w:rPr>
          <w:rFonts w:ascii="Arial" w:cs="Arial" w:eastAsia="Arial" w:hAnsi="Arial"/>
          <w:sz w:val="18"/>
          <w:szCs w:val="18"/>
          <w:color w:val="auto"/>
        </w:rPr>
        <w:t>”) to extend the term of this Lease for 60 months (the “</w:t>
      </w:r>
      <w:r>
        <w:rPr>
          <w:rFonts w:ascii="Arial" w:cs="Arial" w:eastAsia="Arial" w:hAnsi="Arial"/>
          <w:sz w:val="18"/>
          <w:szCs w:val="18"/>
          <w:b w:val="1"/>
          <w:bCs w:val="1"/>
          <w:color w:val="auto"/>
        </w:rPr>
        <w:t>Extension Term</w:t>
      </w:r>
      <w:r>
        <w:rPr>
          <w:rFonts w:ascii="Arial" w:cs="Arial" w:eastAsia="Arial" w:hAnsi="Arial"/>
          <w:sz w:val="18"/>
          <w:szCs w:val="18"/>
          <w:color w:val="auto"/>
        </w:rPr>
        <w:t>”) on the same terms and conditions as this Lease (other than with respect to Base Rent and the Work Letter) by giving Landlord written notice of its election to exercise the Extension Right (the “</w:t>
      </w:r>
      <w:r>
        <w:rPr>
          <w:rFonts w:ascii="Arial" w:cs="Arial" w:eastAsia="Arial" w:hAnsi="Arial"/>
          <w:sz w:val="18"/>
          <w:szCs w:val="18"/>
          <w:b w:val="1"/>
          <w:bCs w:val="1"/>
          <w:color w:val="auto"/>
        </w:rPr>
        <w:t>Exercise Notice</w:t>
      </w:r>
      <w:r>
        <w:rPr>
          <w:rFonts w:ascii="Arial" w:cs="Arial" w:eastAsia="Arial" w:hAnsi="Arial"/>
          <w:sz w:val="18"/>
          <w:szCs w:val="18"/>
          <w:color w:val="auto"/>
        </w:rPr>
        <w:t>”) at least 9 months prior, and no earlier than 12 months prior to the expiration of the Base Term of this Lease.</w:t>
      </w:r>
    </w:p>
    <w:p>
      <w:pPr>
        <w:spacing w:after="0" w:line="196"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Upon the commencement of the Extension Term, Base Rent shall be payable at the Market Rate (as defined below). Base Rent shall thereafter be adjusted on each annual anniversary of the commencement of such Extension Term by a percentage as determined by Landlord and agreed to by Tenant at the time the Market Rate is determined. As used herein, “</w:t>
      </w:r>
      <w:r>
        <w:rPr>
          <w:rFonts w:ascii="Arial" w:cs="Arial" w:eastAsia="Arial" w:hAnsi="Arial"/>
          <w:sz w:val="18"/>
          <w:szCs w:val="18"/>
          <w:b w:val="1"/>
          <w:bCs w:val="1"/>
          <w:color w:val="auto"/>
        </w:rPr>
        <w:t>Market Rate</w:t>
      </w:r>
      <w:r>
        <w:rPr>
          <w:rFonts w:ascii="Arial" w:cs="Arial" w:eastAsia="Arial" w:hAnsi="Arial"/>
          <w:sz w:val="18"/>
          <w:szCs w:val="18"/>
          <w:color w:val="auto"/>
        </w:rPr>
        <w:t>” shall mean the rate that comparable landlords of comparable buildings have accepted in current transactions from non-equity (i.e., not being offered equity in the buildings) and nonaffiliated tenants of similar financial strength for space of comparable size, quality (including all Tenant Improvements, Alterations and other improvements) and floor height in Class A office buildings in the South San Francisco area for a comparable term, with the determination of the Market Rate to take into account all relevant factors, including tenant inducements, views, Project Amenities, parking costs, leasing commissions, allowances or concessions, if any. Notwithstanding the foregoing, the Market Rate shall in no event be less than the Base Rent payable as of the date immediately preceding the commencement of such Extension Term. In addition, Landlord may impose a market rent for the parking rights provided hereunder.</w:t>
      </w:r>
    </w:p>
    <w:p>
      <w:pPr>
        <w:spacing w:after="0" w:line="18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Tenant shall exercise the Extension Right, if at all, as follows: (i) Tenant shall deliver written notice to Landlord (the “</w:t>
      </w:r>
      <w:r>
        <w:rPr>
          <w:rFonts w:ascii="Arial" w:cs="Arial" w:eastAsia="Arial" w:hAnsi="Arial"/>
          <w:sz w:val="18"/>
          <w:szCs w:val="18"/>
          <w:b w:val="1"/>
          <w:bCs w:val="1"/>
          <w:color w:val="auto"/>
        </w:rPr>
        <w:t>Interest Notice</w:t>
      </w:r>
      <w:r>
        <w:rPr>
          <w:rFonts w:ascii="Arial" w:cs="Arial" w:eastAsia="Arial" w:hAnsi="Arial"/>
          <w:sz w:val="18"/>
          <w:szCs w:val="18"/>
          <w:color w:val="auto"/>
        </w:rPr>
        <w:t>”) not more than 15 months nor less than 12 months prior to the expiration of the Base Term of the Lease stating that Tenant may be interested in exercising its Extension Right; (ii) Landlord shall deliver written notice (the “</w:t>
      </w:r>
      <w:r>
        <w:rPr>
          <w:rFonts w:ascii="Arial" w:cs="Arial" w:eastAsia="Arial" w:hAnsi="Arial"/>
          <w:sz w:val="18"/>
          <w:szCs w:val="18"/>
          <w:b w:val="1"/>
          <w:bCs w:val="1"/>
          <w:color w:val="auto"/>
        </w:rPr>
        <w:t>Option Rent Notice</w:t>
      </w:r>
      <w:r>
        <w:rPr>
          <w:rFonts w:ascii="Arial" w:cs="Arial" w:eastAsia="Arial" w:hAnsi="Arial"/>
          <w:sz w:val="18"/>
          <w:szCs w:val="18"/>
          <w:color w:val="auto"/>
        </w:rPr>
        <w:t>”) to Tenant within 30 days after Landlord’s receipt of the Interest Notice setting forth Landlord’s good faith determination of the Market Rate; and (iii) if Tenant wishes to exercise its Extension Right, Tenant shall, on or before the date which is 9 months prior to the expiration of the Base Term of this Lease, exercise the Extension Right by delivering an Exercise Notice to Landlord. Concurrently with Tenant’s delivery of the Exercise Notice to Landlord, Tenant may object, in writing (the “</w:t>
      </w:r>
      <w:r>
        <w:rPr>
          <w:rFonts w:ascii="Arial" w:cs="Arial" w:eastAsia="Arial" w:hAnsi="Arial"/>
          <w:sz w:val="18"/>
          <w:szCs w:val="18"/>
          <w:b w:val="1"/>
          <w:bCs w:val="1"/>
          <w:color w:val="auto"/>
        </w:rPr>
        <w:t>Objection Notice</w:t>
      </w:r>
      <w:r>
        <w:rPr>
          <w:rFonts w:ascii="Arial" w:cs="Arial" w:eastAsia="Arial" w:hAnsi="Arial"/>
          <w:sz w:val="18"/>
          <w:szCs w:val="18"/>
          <w:color w:val="auto"/>
        </w:rPr>
        <w:t xml:space="preserve">”), to Landlord’s determination of the Market Rate set forth in the Option Rent Notice, in which event such Market Rate shall be determined by arbitration pursuant to </w:t>
      </w:r>
      <w:r>
        <w:rPr>
          <w:rFonts w:ascii="Arial" w:cs="Arial" w:eastAsia="Arial" w:hAnsi="Arial"/>
          <w:sz w:val="18"/>
          <w:szCs w:val="18"/>
          <w:u w:val="single" w:color="auto"/>
          <w:color w:val="auto"/>
        </w:rPr>
        <w:t>Section 39(b)</w:t>
      </w:r>
      <w:r>
        <w:rPr>
          <w:rFonts w:ascii="Arial" w:cs="Arial" w:eastAsia="Arial" w:hAnsi="Arial"/>
          <w:sz w:val="18"/>
          <w:szCs w:val="18"/>
          <w:color w:val="auto"/>
        </w:rPr>
        <w:t xml:space="preserve"> below. If Tenant does not deliver an Objection Notice pursuant to the immediately preceding sentence, Tenant shall be deemed to have accepted the Market Rate set forth in the Option Rent Notice. Tenant acknowledges and agrees that, if Tenant has delivered an Exercise Notice to Landlord pursuant to this </w:t>
      </w:r>
      <w:r>
        <w:rPr>
          <w:rFonts w:ascii="Arial" w:cs="Arial" w:eastAsia="Arial" w:hAnsi="Arial"/>
          <w:sz w:val="18"/>
          <w:szCs w:val="18"/>
          <w:u w:val="single" w:color="auto"/>
          <w:color w:val="auto"/>
        </w:rPr>
        <w:t>Section 39(a)</w:t>
      </w:r>
      <w:r>
        <w:rPr>
          <w:rFonts w:ascii="Arial" w:cs="Arial" w:eastAsia="Arial" w:hAnsi="Arial"/>
          <w:sz w:val="18"/>
          <w:szCs w:val="18"/>
          <w:color w:val="auto"/>
        </w:rPr>
        <w:t>, Tenant shall have no right thereafter to rescind such Exercise Notice or elect not to extend the term of this Lease for the Extension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0" w:name="page181"/>
    <w:bookmarkEnd w:id="180"/>
    <w:p>
      <w:pPr>
        <w:ind w:left="200" w:hanging="192"/>
        <w:spacing w:after="0"/>
        <w:tabs>
          <w:tab w:leader="none" w:pos="20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Arbitration</w:t>
      </w:r>
      <w:r>
        <w:rPr>
          <w:rFonts w:ascii="Arial" w:cs="Arial" w:eastAsia="Arial" w:hAnsi="Arial"/>
          <w:sz w:val="18"/>
          <w:szCs w:val="18"/>
          <w:color w:val="auto"/>
        </w:rPr>
        <w:t>.</w:t>
      </w:r>
    </w:p>
    <w:p>
      <w:pPr>
        <w:spacing w:after="0" w:line="2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 Within 10 days of Tenant’s notice to Landlord of its election (or deemed election) to arbitrate Market Rate and escalations, each party shall deliver to the other a proposal containing the Market Rate and escalations that the submitting party believes to be correct (“</w:t>
      </w:r>
      <w:r>
        <w:rPr>
          <w:rFonts w:ascii="Arial" w:cs="Arial" w:eastAsia="Arial" w:hAnsi="Arial"/>
          <w:sz w:val="18"/>
          <w:szCs w:val="18"/>
          <w:b w:val="1"/>
          <w:bCs w:val="1"/>
          <w:color w:val="auto"/>
        </w:rPr>
        <w:t>Extension</w:t>
      </w:r>
      <w:r>
        <w:rPr>
          <w:rFonts w:ascii="Arial" w:cs="Arial" w:eastAsia="Arial" w:hAnsi="Arial"/>
          <w:sz w:val="18"/>
          <w:szCs w:val="18"/>
          <w:color w:val="auto"/>
        </w:rPr>
        <w:t xml:space="preserve"> </w:t>
      </w:r>
      <w:r>
        <w:rPr>
          <w:rFonts w:ascii="Arial" w:cs="Arial" w:eastAsia="Arial" w:hAnsi="Arial"/>
          <w:sz w:val="18"/>
          <w:szCs w:val="18"/>
          <w:b w:val="1"/>
          <w:bCs w:val="1"/>
          <w:color w:val="auto"/>
        </w:rPr>
        <w:t>Proposal</w:t>
      </w:r>
      <w:r>
        <w:rPr>
          <w:rFonts w:ascii="Arial" w:cs="Arial" w:eastAsia="Arial" w:hAnsi="Arial"/>
          <w:sz w:val="18"/>
          <w:szCs w:val="18"/>
          <w:color w:val="auto"/>
        </w:rPr>
        <w:t>”). If either party fails to timely submit an Extension Proposal, the other party’s submitted proposal shall determine the Base Rent</w:t>
      </w:r>
      <w:r>
        <w:rPr>
          <w:rFonts w:ascii="Arial" w:cs="Arial" w:eastAsia="Arial" w:hAnsi="Arial"/>
          <w:sz w:val="18"/>
          <w:szCs w:val="18"/>
          <w:b w:val="1"/>
          <w:bCs w:val="1"/>
          <w:color w:val="auto"/>
        </w:rPr>
        <w:t xml:space="preserve"> </w:t>
      </w:r>
      <w:r>
        <w:rPr>
          <w:rFonts w:ascii="Arial" w:cs="Arial" w:eastAsia="Arial" w:hAnsi="Arial"/>
          <w:sz w:val="18"/>
          <w:szCs w:val="18"/>
          <w:color w:val="auto"/>
        </w:rPr>
        <w:t>and escalations for the Extension Term. If both parties submit Extension Proposals, then Landlord and Tenant shall meet within 7 days after delivery of the last Extension Proposal and make a good faith attempt to mutually appoint a single Arbitrator (as defined below) to determine the Market Rate and escalations. If Landlord and Tenant are unable to agree upon a single Arbitrator, then each shall, by written notice delivered to the other within 10 days after the meeting, select an Arbitrator. If either party fails to timely give notice of its selection for an Arbitrator, the other party’s submitted proposal shall determine the Base Rent for the Extension Term. The 2 Arbitrators so appointed shall, within 5 business days after their appointment, appoint a third Arbitrator. If the 2 Arbitrators so selected cannot agree on the selection of the third Arbitrator within the time above specified, then either party, on behalf of both parties, may request such appointment of such third Arbitrator by application to any state court of general jurisdiction in the jurisdiction in which the Premises are located, upon 10 days prior written notice to the other party of such intent.</w:t>
      </w:r>
    </w:p>
    <w:p>
      <w:pPr>
        <w:spacing w:after="0" w:line="204" w:lineRule="exact"/>
        <w:rPr>
          <w:sz w:val="20"/>
          <w:szCs w:val="20"/>
          <w:color w:val="auto"/>
        </w:rPr>
      </w:pPr>
    </w:p>
    <w:p>
      <w:pPr>
        <w:ind w:firstLine="8"/>
        <w:spacing w:after="0" w:line="236" w:lineRule="auto"/>
        <w:tabs>
          <w:tab w:leader="none" w:pos="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decision of the Arbitrator(s) shall be made within 30 days after the appointment of a single Arbitrator or the third Arbitrator, as applicable. The decision of the single Arbitrator shall be final and binding upon the parties. The average of the two closest Arbitrators in a three Arbitrator panel shall be final and binding upon the parties. Each party shall pay the fees and expenses of the Arbitrator appointed by or on behalf of such party and the fees and expenses of the third Arbitrator shall be borne equally by both parties. If the Market Rate and escalations are not determined by the first day of the Extension Term, then Tenant shall pay Landlord Base Rent in an amount equal to the Base Rent in effect immediately prior to the Extension Term and increased by the Rent Adjustment Percentage until such determination is made. After the determination of the Market Rate and escalations, the parties shall make any necessary adjustments to such payments made by Tenant. Landlord and Tenant shall then execute an amendment recognizing the Market Rate and escalations for the Extension Term.</w:t>
      </w:r>
    </w:p>
    <w:p>
      <w:pPr>
        <w:spacing w:after="0" w:line="184" w:lineRule="exact"/>
        <w:rPr>
          <w:rFonts w:ascii="Arial" w:cs="Arial" w:eastAsia="Arial" w:hAnsi="Arial"/>
          <w:sz w:val="18"/>
          <w:szCs w:val="18"/>
          <w:color w:val="auto"/>
        </w:rPr>
      </w:pPr>
    </w:p>
    <w:p>
      <w:pPr>
        <w:ind w:right="60" w:firstLine="8"/>
        <w:spacing w:after="0" w:line="242" w:lineRule="auto"/>
        <w:tabs>
          <w:tab w:leader="none" w:pos="2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Arbitrator</w:t>
      </w:r>
      <w:r>
        <w:rPr>
          <w:rFonts w:ascii="Arial" w:cs="Arial" w:eastAsia="Arial" w:hAnsi="Arial"/>
          <w:sz w:val="18"/>
          <w:szCs w:val="18"/>
          <w:color w:val="auto"/>
        </w:rPr>
        <w:t>” shall be any person appointed by or on behalf of either party or appointed pursuant to the provisions hereof and: (i) shall be (A) a member of the American Institute of Real Estate Appraisers with not less than 10 years of experience in the appraisal of improved office and high tech industrial real estate in the greater San Francisco Bay area, or (B) a licensed commercial real estate broker with not less than 15 years’ experience representing landlords and/or tenants in the leasing of high tech or life sciences space in the greater San Francisco Bay area, (ii) devoting substantially all of their time to professional appraisal or brokerage work, as applicable, at the time of appointment and (iii) be in all respects impartial and disinterested</w:t>
      </w:r>
    </w:p>
    <w:p>
      <w:pPr>
        <w:spacing w:after="0" w:line="179"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Rights Personal</w:t>
      </w:r>
      <w:r>
        <w:rPr>
          <w:rFonts w:ascii="Arial" w:cs="Arial" w:eastAsia="Arial" w:hAnsi="Arial"/>
          <w:sz w:val="18"/>
          <w:szCs w:val="18"/>
          <w:color w:val="auto"/>
        </w:rPr>
        <w:t>. The Extension Right is personal to Tenant and is not assignable without Landlord’s consent, which may be granted or withheld in Landlord’s sole discretion separate and apart from any consent by Landlord to an assignment of Tenant’s interest in this Lease, except that it may be assigned in connection with any Permitted Assignment of this Lease .</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color w:val="auto"/>
        </w:rPr>
        <w:t>Exceptions</w:t>
      </w:r>
      <w:r>
        <w:rPr>
          <w:rFonts w:ascii="Arial" w:cs="Arial" w:eastAsia="Arial" w:hAnsi="Arial"/>
          <w:sz w:val="18"/>
          <w:szCs w:val="18"/>
          <w:color w:val="auto"/>
        </w:rPr>
        <w:t>. Notwithstanding anything set forth above to the contrary, the Extension Right shall, at Landlord’s option, not be in effect and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Tenant may not exercise any the Extension Right: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during any period of time that Tenant is in Default under any provision of this Lease; or</w:t>
      </w:r>
    </w:p>
    <w:p>
      <w:pPr>
        <w:spacing w:after="0" w:line="212" w:lineRule="exact"/>
        <w:rPr>
          <w:sz w:val="20"/>
          <w:szCs w:val="20"/>
          <w:color w:val="auto"/>
        </w:rPr>
      </w:pPr>
    </w:p>
    <w:p>
      <w:pPr>
        <w:ind w:firstLine="8"/>
        <w:spacing w:after="0" w:line="246" w:lineRule="auto"/>
        <w:tabs>
          <w:tab w:leader="none" w:pos="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Tenant has been in Default under any provision of this Lease 3 or more times, whether or not the Defaults are cured, during the 12 month period immediately prior to the date that Tenant intends to exercise the Extension Right, whether or not the Defaults are cured.</w:t>
      </w:r>
    </w:p>
    <w:p>
      <w:pPr>
        <w:spacing w:after="0" w:line="175"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color w:val="auto"/>
        </w:rPr>
        <w:t>No Extensions</w:t>
      </w:r>
      <w:r>
        <w:rPr>
          <w:rFonts w:ascii="Arial" w:cs="Arial" w:eastAsia="Arial" w:hAnsi="Arial"/>
          <w:sz w:val="18"/>
          <w:szCs w:val="18"/>
          <w:color w:val="auto"/>
        </w:rPr>
        <w:t>. The period of time within which the Extension Right may be exercised shall not be extended or enlarged by reason of Tenant’s inability to exercise the Extension Right.</w:t>
      </w:r>
    </w:p>
    <w:p>
      <w:pPr>
        <w:spacing w:after="0" w:line="154"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color w:val="auto"/>
        </w:rPr>
        <w:t>Termination</w:t>
      </w:r>
      <w:r>
        <w:rPr>
          <w:rFonts w:ascii="Arial" w:cs="Arial" w:eastAsia="Arial" w:hAnsi="Arial"/>
          <w:sz w:val="18"/>
          <w:szCs w:val="18"/>
          <w:color w:val="auto"/>
        </w:rPr>
        <w:t>. The Extension Right shall, at Landlord’s option, terminate and be of no further force or effect even after Tenant’s due and timely exercise of the Extension Right, if, after such exercise, but prior to the commencement date of the Extension Term, (i) Tenant fails to timely cure any default by Tenant under this Lease; or (ii) Tenant has Defaulted 3 or more times during the period from the date of the exercise of the Extension Right to the date of the commencement of the Extension Term, whether or not such Defaults are cured.</w:t>
      </w:r>
    </w:p>
    <w:p>
      <w:pPr>
        <w:spacing w:after="0" w:line="174" w:lineRule="exact"/>
        <w:rPr>
          <w:sz w:val="20"/>
          <w:szCs w:val="20"/>
          <w:color w:val="auto"/>
        </w:rPr>
      </w:pPr>
    </w:p>
    <w:p>
      <w:pPr>
        <w:ind w:left="300" w:hanging="292"/>
        <w:spacing w:after="0"/>
        <w:tabs>
          <w:tab w:leader="none" w:pos="30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81" w:name="page182"/>
    <w:bookmarkEnd w:id="181"/>
    <w:p>
      <w:pPr>
        <w:ind w:right="60"/>
        <w:spacing w:after="0" w:line="24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Notices</w:t>
      </w:r>
      <w:r>
        <w:rPr>
          <w:rFonts w:ascii="Arial" w:cs="Arial" w:eastAsia="Arial" w:hAnsi="Arial"/>
          <w:sz w:val="18"/>
          <w:szCs w:val="18"/>
          <w:color w:val="auto"/>
        </w:rPr>
        <w:t>. All notices or other communications between the parties shall be in writing and shall be deemed duly given upon delivery or refusal to accept delivery by the addressee thereof if delivered in person, or upon actual receipt if delivered by reputable overnight guaranty courier, addressed and sent to the parties at their addresses set forth above. Landlord and Tenant may from time to time by written notice to the other designate another address for receipt of future notices.</w:t>
      </w:r>
    </w:p>
    <w:p>
      <w:pPr>
        <w:spacing w:after="0" w:line="17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Joint and Several Liability</w:t>
      </w:r>
      <w:r>
        <w:rPr>
          <w:rFonts w:ascii="Arial" w:cs="Arial" w:eastAsia="Arial" w:hAnsi="Arial"/>
          <w:sz w:val="18"/>
          <w:szCs w:val="18"/>
          <w:color w:val="auto"/>
        </w:rPr>
        <w:t>. If and when included within the term “</w:t>
      </w:r>
      <w:r>
        <w:rPr>
          <w:rFonts w:ascii="Arial" w:cs="Arial" w:eastAsia="Arial" w:hAnsi="Arial"/>
          <w:sz w:val="18"/>
          <w:szCs w:val="18"/>
          <w:b w:val="1"/>
          <w:bCs w:val="1"/>
          <w:color w:val="auto"/>
        </w:rPr>
        <w:t>Tenant</w:t>
      </w:r>
      <w:r>
        <w:rPr>
          <w:rFonts w:ascii="Arial" w:cs="Arial" w:eastAsia="Arial" w:hAnsi="Arial"/>
          <w:sz w:val="18"/>
          <w:szCs w:val="18"/>
          <w:color w:val="auto"/>
        </w:rPr>
        <w:t>,” as used in this instrument, there is more than one person or entity, each shall be jointly and severally liable for the obligations of Tenant.</w:t>
      </w:r>
    </w:p>
    <w:p>
      <w:pPr>
        <w:spacing w:after="0" w:line="15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Financial Information</w:t>
      </w:r>
      <w:r>
        <w:rPr>
          <w:rFonts w:ascii="Arial" w:cs="Arial" w:eastAsia="Arial" w:hAnsi="Arial"/>
          <w:sz w:val="18"/>
          <w:szCs w:val="18"/>
          <w:i w:val="1"/>
          <w:iCs w:val="1"/>
          <w:color w:val="auto"/>
        </w:rPr>
        <w:t>.</w:t>
      </w:r>
      <w:r>
        <w:rPr>
          <w:rFonts w:ascii="Arial" w:cs="Arial" w:eastAsia="Arial" w:hAnsi="Arial"/>
          <w:sz w:val="18"/>
          <w:szCs w:val="18"/>
          <w:color w:val="auto"/>
        </w:rPr>
        <w:t xml:space="preserve"> Tenant shall furnish to Landlord with true and complete copies of (i) upon Landlord’s written request on an annual basis, Tenant’s most recent audited annual financial statements, provided, however, that Tenant shall not be required to deliver to Landlord such annual financial statements for any particular year sooner than the date that is 90 days after the end of each of Tenant’s fiscal years during the Term, (ii) upon Landlord’s written request on a quarterly basis, Tenant’s most recent unaudited quarterly financial statements; provided, however, that Tenant shall not be required to deliver to Landlord such quarterly financial statements for any particular quarter sooner that the date that is 45 days after the end of each of Tenant’s fiscal quarters during the Term, (iii) upon Landlord’s written request from time to time, updated business plans, including cash flow projections and/or pro forma balance sheets and income statements, all of which shall be treated by Landlord as confidential information belonging to Tenant, (iv) upon Landlord’s written request from time to time, corporate brochures and/or profiles prepared by Tenant for prospective investors, and (v) upon Landlord’s written request from time to time, any other financial information or summaries that Tenant typically provides to its lenders or shareholders. Notwithstanding anything to the contrary contained in this Lease, Landlord’s written request for financial information pursuant to this </w:t>
      </w:r>
      <w:r>
        <w:rPr>
          <w:rFonts w:ascii="Arial" w:cs="Arial" w:eastAsia="Arial" w:hAnsi="Arial"/>
          <w:sz w:val="18"/>
          <w:szCs w:val="18"/>
          <w:u w:val="single" w:color="auto"/>
          <w:color w:val="auto"/>
        </w:rPr>
        <w:t>Section 40(c)</w:t>
      </w:r>
      <w:r>
        <w:rPr>
          <w:rFonts w:ascii="Arial" w:cs="Arial" w:eastAsia="Arial" w:hAnsi="Arial"/>
          <w:sz w:val="18"/>
          <w:szCs w:val="18"/>
          <w:color w:val="auto"/>
        </w:rPr>
        <w:t xml:space="preserve"> may delivered to Tenant via email. So long as Tenant is a “public company” and its financial information is publicly available, then the foregoing delivery requirements of this </w:t>
      </w:r>
      <w:r>
        <w:rPr>
          <w:rFonts w:ascii="Arial" w:cs="Arial" w:eastAsia="Arial" w:hAnsi="Arial"/>
          <w:sz w:val="18"/>
          <w:szCs w:val="18"/>
          <w:u w:val="single" w:color="auto"/>
          <w:color w:val="auto"/>
        </w:rPr>
        <w:t>Section 40(c)</w:t>
      </w:r>
      <w:r>
        <w:rPr>
          <w:rFonts w:ascii="Arial" w:cs="Arial" w:eastAsia="Arial" w:hAnsi="Arial"/>
          <w:sz w:val="18"/>
          <w:szCs w:val="18"/>
          <w:color w:val="auto"/>
        </w:rPr>
        <w:t>shall not apply.</w:t>
      </w:r>
    </w:p>
    <w:p>
      <w:pPr>
        <w:spacing w:after="0" w:line="180"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color w:val="auto"/>
        </w:rPr>
        <w:t>Recordation</w:t>
      </w:r>
      <w:r>
        <w:rPr>
          <w:rFonts w:ascii="Arial" w:cs="Arial" w:eastAsia="Arial" w:hAnsi="Arial"/>
          <w:sz w:val="18"/>
          <w:szCs w:val="18"/>
          <w:color w:val="auto"/>
        </w:rPr>
        <w:t>. Neither this Lease nor a memorandum of lease shall be filed by or on behalf of Tenant in any public record. Landlord may prepare and file, and upon request by Landlord Tenant will execute, a memorandum of lease.</w:t>
      </w:r>
    </w:p>
    <w:p>
      <w:pPr>
        <w:spacing w:after="0" w:line="15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color w:val="auto"/>
        </w:rPr>
        <w:t>Interpretation</w:t>
      </w:r>
      <w:r>
        <w:rPr>
          <w:rFonts w:ascii="Arial" w:cs="Arial" w:eastAsia="Arial" w:hAnsi="Arial"/>
          <w:sz w:val="18"/>
          <w:szCs w:val="18"/>
          <w:color w:val="auto"/>
        </w:rPr>
        <w:t>. The normal rule of construction to the effect that any ambiguities are to be resolved against the drafting party shall not be employed in the interpretation of this Lease or any exhibits or amendments hereto. Words of any gender used in this Lease shall be held and construed to include any other gender, and words in the singular number shall be held to include the plural, unless the context otherwise requires. The captions inserted in this Lease are for convenience only and in no way define, limit or otherwise describe the scope or intent of this Lease, or any provision hereof, or in any way affect the interpretation of this Lease.</w:t>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color w:val="auto"/>
        </w:rPr>
        <w:t>Not Binding Until Executed</w:t>
      </w:r>
      <w:r>
        <w:rPr>
          <w:rFonts w:ascii="Arial" w:cs="Arial" w:eastAsia="Arial" w:hAnsi="Arial"/>
          <w:sz w:val="18"/>
          <w:szCs w:val="18"/>
          <w:color w:val="auto"/>
        </w:rPr>
        <w:t>. The submission by Landlord to Tenant of this Lease shall have no binding force or effect, shall not constitute an option for the leasing of the Premises, nor confer any right or impose any obligations upon either party until execution of this Lease by both parties.</w:t>
      </w:r>
    </w:p>
    <w:p>
      <w:pPr>
        <w:spacing w:after="0" w:line="169"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 xml:space="preserve">g. </w:t>
      </w:r>
      <w:r>
        <w:rPr>
          <w:rFonts w:ascii="Arial" w:cs="Arial" w:eastAsia="Arial" w:hAnsi="Arial"/>
          <w:sz w:val="17"/>
          <w:szCs w:val="17"/>
          <w:b w:val="1"/>
          <w:bCs w:val="1"/>
          <w:color w:val="auto"/>
        </w:rPr>
        <w:t>Limitations on Interest</w:t>
      </w:r>
      <w:r>
        <w:rPr>
          <w:rFonts w:ascii="Arial" w:cs="Arial" w:eastAsia="Arial" w:hAnsi="Arial"/>
          <w:sz w:val="17"/>
          <w:szCs w:val="17"/>
          <w:color w:val="auto"/>
        </w:rPr>
        <w:t>. It is expressly the intent of Landlord and Tenant at all times to comply with applicable law governing the maximum rate or amount of any interest payable on or in connection with this Lease. If applicable law is ever judicially interpreted so as to render usurious any interest called for under this Lease, or contracted for, charged, taken, reserved, or received with respect to this Lease, then it is Landlord’s and Tenant’s express intent that all excess amounts theretofore collected by Landlord be credited on the applicable obligation (or, if the obligation has been or would thereby be paid in full, refunded to Tenant), and the provisions of this Lease immediately shall be deemed reformed and the amounts thereafter collectible hereunder reduced, without the necessity of the execution of any new document, so as to comply with the applicable law, but so as to permit the recovery of the fullest amount otherwise called for hereunder.</w:t>
      </w:r>
    </w:p>
    <w:p>
      <w:pPr>
        <w:spacing w:after="0" w:line="16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b w:val="1"/>
          <w:bCs w:val="1"/>
          <w:color w:val="auto"/>
        </w:rPr>
        <w:t>Choice of Law</w:t>
      </w:r>
      <w:r>
        <w:rPr>
          <w:rFonts w:ascii="Arial" w:cs="Arial" w:eastAsia="Arial" w:hAnsi="Arial"/>
          <w:sz w:val="18"/>
          <w:szCs w:val="18"/>
          <w:color w:val="auto"/>
        </w:rPr>
        <w:t>. Construction and interpretation of this Lease shall be governed by the internal laws of the state in which the Premises are located, excluding any principles of conflicts of laws.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Time</w:t>
      </w:r>
      <w:r>
        <w:rPr>
          <w:rFonts w:ascii="Arial" w:cs="Arial" w:eastAsia="Arial" w:hAnsi="Arial"/>
          <w:sz w:val="18"/>
          <w:szCs w:val="18"/>
          <w:color w:val="auto"/>
        </w:rPr>
        <w:t>. Time is of the essence as to the performance of Tenant’s obligations under this Lease.</w:t>
      </w:r>
    </w:p>
    <w:p>
      <w:pPr>
        <w:spacing w:after="0" w:line="212"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b w:val="1"/>
          <w:bCs w:val="1"/>
          <w:color w:val="auto"/>
        </w:rPr>
        <w:t>OFAC</w:t>
      </w:r>
      <w:r>
        <w:rPr>
          <w:rFonts w:ascii="Arial" w:cs="Arial" w:eastAsia="Arial" w:hAnsi="Arial"/>
          <w:sz w:val="18"/>
          <w:szCs w:val="18"/>
          <w:color w:val="auto"/>
        </w:rPr>
        <w:t>. Tenant and all beneficial owners of Tenant are currently (a) in compliance with and shall at all times during the Term of this Lease remain in compliance with the regulations of the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of the U.S. Department of Treasury and any statute, executive order, or regulation relating thereto (collectively, the “</w:t>
      </w:r>
      <w:r>
        <w:rPr>
          <w:rFonts w:ascii="Arial" w:cs="Arial" w:eastAsia="Arial" w:hAnsi="Arial"/>
          <w:sz w:val="18"/>
          <w:szCs w:val="18"/>
          <w:b w:val="1"/>
          <w:bCs w:val="1"/>
          <w:color w:val="auto"/>
        </w:rPr>
        <w:t>OFAC Rules</w:t>
      </w:r>
      <w:r>
        <w:rPr>
          <w:rFonts w:ascii="Arial" w:cs="Arial" w:eastAsia="Arial" w:hAnsi="Arial"/>
          <w:sz w:val="18"/>
          <w:szCs w:val="18"/>
          <w:color w:val="auto"/>
        </w:rPr>
        <w:t>”), (b) not listed on, and shall not during the term of this Lease be listed on, the Specially Designated Nationals and Blocked Persons List, Foreign Sanctions Evaders List, or the Sectoral Sanctions Identification List, which are all maintained by OFAC and/or on any other similar list maintained by OFAC or other governmental authority pursuant to any authorizing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82" w:name="page183"/>
    <w:bookmarkEnd w:id="182"/>
    <w:p>
      <w:pPr>
        <w:ind w:right="200"/>
        <w:spacing w:after="0" w:line="246" w:lineRule="auto"/>
        <w:rPr>
          <w:sz w:val="20"/>
          <w:szCs w:val="20"/>
          <w:color w:val="auto"/>
        </w:rPr>
      </w:pPr>
      <w:r>
        <w:rPr>
          <w:rFonts w:ascii="Arial" w:cs="Arial" w:eastAsia="Arial" w:hAnsi="Arial"/>
          <w:sz w:val="18"/>
          <w:szCs w:val="18"/>
          <w:color w:val="auto"/>
        </w:rPr>
        <w:t>statute, executive order, or regulation, and (c) not a person or entity with whom a U.S. person is prohibited from conducting business under the OFAC Rules.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b w:val="1"/>
          <w:bCs w:val="1"/>
          <w:color w:val="auto"/>
        </w:rPr>
        <w:t>Incorporation by Reference</w:t>
      </w:r>
      <w:r>
        <w:rPr>
          <w:rFonts w:ascii="Arial" w:cs="Arial" w:eastAsia="Arial" w:hAnsi="Arial"/>
          <w:sz w:val="18"/>
          <w:szCs w:val="18"/>
          <w:color w:val="auto"/>
        </w:rPr>
        <w:t>. All exhibits and addenda attached hereto are hereby incorporated into this Lease and made a part hereof.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If there is any conflict between such exhibits or addenda and the terms of this Lease, such exhibits or addenda shall control.</w:t>
      </w:r>
    </w:p>
    <w:p>
      <w:pPr>
        <w:spacing w:after="0" w:line="19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b w:val="1"/>
          <w:bCs w:val="1"/>
          <w:color w:val="auto"/>
        </w:rPr>
        <w:t>Entire Agreement</w:t>
      </w:r>
      <w:r>
        <w:rPr>
          <w:rFonts w:ascii="Arial" w:cs="Arial" w:eastAsia="Arial" w:hAnsi="Arial"/>
          <w:sz w:val="18"/>
          <w:szCs w:val="18"/>
          <w:color w:val="auto"/>
        </w:rPr>
        <w:t>. This Lease, including the exhibits attached hereto, constitutes the entire agreement between Landlord and Tenant pertaining to the subject matter hereof and supersedes all prior and contemporaneous agreements, understandings, letters of intent, negotiations and discussions, whether oral or written, of the parties, and there are no warranties, representations or other agreements, express or implied, made to either party by the other party in connection with the subject matter hereof except as specifically set forth herein.</w:t>
      </w:r>
    </w:p>
    <w:p>
      <w:pPr>
        <w:spacing w:after="0" w:line="174"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b w:val="1"/>
          <w:bCs w:val="1"/>
          <w:color w:val="auto"/>
        </w:rPr>
        <w:t>No Accord and Satisfaction</w:t>
      </w:r>
      <w:r>
        <w:rPr>
          <w:rFonts w:ascii="Arial" w:cs="Arial" w:eastAsia="Arial" w:hAnsi="Arial"/>
          <w:sz w:val="18"/>
          <w:szCs w:val="18"/>
          <w:color w:val="auto"/>
        </w:rPr>
        <w:t>. No payment by Tenant or receipt by Landlord of a lesser amount than the monthly installment of Base Rent or any Additional Rent will be other than on account of the earliest stipulated Base Rent and Additional Rent, nor will any endorsement or statement on any check or letter accompanying a check for payment of any Base Rent or Additional Rent be an accord and satisfaction. Landlord may accept such check or payment without prejudice to Landlord’s right to recover the balance of such Rent or to pursue any other remedy provided in this Lease.</w:t>
      </w:r>
    </w:p>
    <w:p>
      <w:pPr>
        <w:spacing w:after="0" w:line="17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n. </w:t>
      </w:r>
      <w:r>
        <w:rPr>
          <w:rFonts w:ascii="Arial" w:cs="Arial" w:eastAsia="Arial" w:hAnsi="Arial"/>
          <w:sz w:val="18"/>
          <w:szCs w:val="18"/>
          <w:b w:val="1"/>
          <w:bCs w:val="1"/>
          <w:color w:val="auto"/>
        </w:rPr>
        <w:t>Redevelopment of Project</w:t>
      </w:r>
      <w:r>
        <w:rPr>
          <w:rFonts w:ascii="Arial" w:cs="Arial" w:eastAsia="Arial" w:hAnsi="Arial"/>
          <w:sz w:val="18"/>
          <w:szCs w:val="18"/>
          <w:color w:val="auto"/>
        </w:rPr>
        <w:t>. Tenant acknowledges that Landlord, in its sole discretion, may from time to time expand, renovate and/or reconfigure the Project as the same may exist from time to time and, in connection therewith or in addition thereto, as the case may be, from time to time without limitation: (a) change the shape, size, location, number and/or extent of any improvements, buildings, structures, lobbies, hallways, entrances, exits, parking and/or parking areas relative to any portion of the Project; (b) modify, eliminate and/or add any buildings, improvements, and parking structure(s) either above or below grade, to the Project, the Common Areas and/or any other portion of the Project and/or make any other changes thereto affecting the same; and (c) make any other changes, additions and/or deletions in any way affecting the Project and/or any portion thereof as Landlord may elect from time to time, including without limitation, additions to and/or deletions from the land comprising the Project, the Common Areas and/or any other portion of the Project. Tenant acknowledges and agrees that construction noise, vibrations and dust associated with normal construction activities in connection with any redevelopment of the Project are to be expected during the course of such construction. Notwithstanding anything to the contrary contained in this Lease, Tenant shall have no right to seek damages (including abatement of Rent) or to cancel or terminate this Lease because of any proposed changes, expansion, renovation or reconfiguration of the Project nor shall Tenant have the right to restrict, inhibit or prohibit any such changes, expansion, renovation or reconfiguration; provided, however, Landlord shall not change the size, dimensions, location or Tenant’s Permitted Use of the Premises.</w:t>
      </w:r>
    </w:p>
    <w:p>
      <w:pPr>
        <w:spacing w:after="0" w:line="18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EV Charging Stations</w:t>
      </w:r>
      <w:r>
        <w:rPr>
          <w:rFonts w:ascii="Arial" w:cs="Arial" w:eastAsia="Arial" w:hAnsi="Arial"/>
          <w:sz w:val="18"/>
          <w:szCs w:val="18"/>
          <w:color w:val="auto"/>
        </w:rPr>
        <w:t>. Landlord shall not unreasonably withhold its consent to Tenant’s written request to install 1 or more electric vehicle car charging stations (“</w:t>
      </w:r>
      <w:r>
        <w:rPr>
          <w:rFonts w:ascii="Arial" w:cs="Arial" w:eastAsia="Arial" w:hAnsi="Arial"/>
          <w:sz w:val="18"/>
          <w:szCs w:val="18"/>
          <w:b w:val="1"/>
          <w:bCs w:val="1"/>
          <w:color w:val="auto"/>
        </w:rPr>
        <w:t>EV Stations</w:t>
      </w:r>
      <w:r>
        <w:rPr>
          <w:rFonts w:ascii="Arial" w:cs="Arial" w:eastAsia="Arial" w:hAnsi="Arial"/>
          <w:sz w:val="18"/>
          <w:szCs w:val="18"/>
          <w:color w:val="auto"/>
        </w:rPr>
        <w:t xml:space="preserve">”) in the parking area serving the Project; provided, however, that Tenant complies with all reasonable requirements, standards, rules and regulations which may be imposed by Landlord, at the time Landlord’s consent is granted, in connection with Tenant’s installation, maintenance, repair and operation of such EV Stations, which may include, without limitation, the charge to Tenant of a reasonable monthly rental amount for the parking spaces used by Tenant for such EV Stations, Landlord’s designation of the location of Tenant’s EV Stations, and Tenant’s payment of all costs whether incurred by Landlord or Tenant in connection with the installation, maintenance, repair and operation of each Tenant’s EV Station(s). Nothing contained in this paragraph is intended to increase the number of parking spaces which Tenant is otherwise entitled to use at the Project under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of this Lease nor impose any additional obligations on Landlord with respect to Tenant’s parking rights at the Project.</w:t>
      </w:r>
    </w:p>
    <w:p>
      <w:pPr>
        <w:spacing w:after="0" w:line="18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p. </w:t>
      </w:r>
      <w:r>
        <w:rPr>
          <w:rFonts w:ascii="Arial" w:cs="Arial" w:eastAsia="Arial" w:hAnsi="Arial"/>
          <w:sz w:val="18"/>
          <w:szCs w:val="18"/>
          <w:b w:val="1"/>
          <w:bCs w:val="1"/>
          <w:color w:val="auto"/>
        </w:rPr>
        <w:t>California Accessibility Disclosure</w:t>
      </w:r>
      <w:r>
        <w:rPr>
          <w:rFonts w:ascii="Arial" w:cs="Arial" w:eastAsia="Arial" w:hAnsi="Arial"/>
          <w:sz w:val="18"/>
          <w:szCs w:val="18"/>
          <w:color w:val="auto"/>
        </w:rPr>
        <w:t>. For purposes of Section 1938(a) of the California Civil Code, Landlord hereby discloses to Tenant, and Tenant hereby acknowledges, that the Project has not undergone inspection by a Certified Access Specialist (CASp). In addition, the following notice is hereby provided pursuant to Section 1938(e) of the California Civil Code: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and in connection with such notice: (i) Tenant, having read such notice and understanding Tenant’s right to request and obtain a CASp inspection, hereby elects not to obtain such CASp inspection and forever waives its rights to obtain a CASp inspection with respect to the Premises, Building and/or Project to the extent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3" w:name="page184"/>
    <w:bookmarkEnd w:id="183"/>
    <w:p>
      <w:pPr>
        <w:ind w:right="40"/>
        <w:spacing w:after="0" w:line="248" w:lineRule="auto"/>
        <w:rPr>
          <w:sz w:val="20"/>
          <w:szCs w:val="20"/>
          <w:color w:val="auto"/>
        </w:rPr>
      </w:pPr>
      <w:r>
        <w:rPr>
          <w:rFonts w:ascii="Arial" w:cs="Arial" w:eastAsia="Arial" w:hAnsi="Arial"/>
          <w:sz w:val="17"/>
          <w:szCs w:val="17"/>
          <w:color w:val="auto"/>
        </w:rPr>
        <w:t>by Legal Requirements; and (ii) if the waiver set forth in clause (i) hereinabove is not enforceable pursuant to Legal Requirements, then Landlord and Tenant hereby agree as follows (which constitutes the mutual agreement of the parties as to the matters described in the last sentence of the foregoing notice): (A) Tenant shall have the one-time right to request for and obtain a CASp inspection, which request must be made, if at all, in a written notice delivered by Tenant to Landlord; (B) any CASp inspection timely requested by Tenant shall be conducted</w:t>
      </w:r>
    </w:p>
    <w:p>
      <w:pPr>
        <w:spacing w:after="0" w:line="2" w:lineRule="exact"/>
        <w:rPr>
          <w:sz w:val="20"/>
          <w:szCs w:val="20"/>
          <w:color w:val="auto"/>
        </w:rPr>
      </w:pPr>
    </w:p>
    <w:p>
      <w:pPr>
        <w:ind w:right="20" w:firstLine="8"/>
        <w:spacing w:after="0" w:line="236" w:lineRule="auto"/>
        <w:tabs>
          <w:tab w:leader="none" w:pos="27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at a time mutually agreed to by Landlord and Tenant, (2) in a professional manner by a CASp designated by Landlord and without any testing that would damage the Premises, Building or Project in any way, and (3) at Tenant’s sole cost and expense, including, without limitation, Tenant’s payment of the fee for such CASp inspection, the fee for any reports prepared by the CASp in connection with such CASp inspection (collectively, the “</w:t>
      </w:r>
      <w:r>
        <w:rPr>
          <w:rFonts w:ascii="Arial" w:cs="Arial" w:eastAsia="Arial" w:hAnsi="Arial"/>
          <w:sz w:val="18"/>
          <w:szCs w:val="18"/>
          <w:b w:val="1"/>
          <w:bCs w:val="1"/>
          <w:color w:val="auto"/>
        </w:rPr>
        <w:t>CASp Reports</w:t>
      </w:r>
      <w:r>
        <w:rPr>
          <w:rFonts w:ascii="Arial" w:cs="Arial" w:eastAsia="Arial" w:hAnsi="Arial"/>
          <w:sz w:val="18"/>
          <w:szCs w:val="18"/>
          <w:color w:val="auto"/>
        </w:rPr>
        <w:t>”) and all other costs and expenses in connection therewith; (C) the CASp Reports shall be delivered by the CASp simultaneously to Landlord and Tenant; (D) Tenant, at its sole cost and expense, shall be responsible for making any improvements, alterations, modifications and/or repairs to or within the Premises to correct violations of construction-related accessibility standards including, without limitation, any violations disclosed by such CASp inspection; and (E) if such CASp inspection identifies any improvements, alterations, modifications and/or repairs necessary to correct violations of construction-related accessibility standards relating to those items of the Building and Project located outside the Premises that are Landlord’s obligation to repair as set forth in this Lease, then Landlord shall perform such improvements, alterations, modifications and/or repairs as and to the extent required by Legal Requirements to correct such violations, and Tenant shall reimburse Landlord for the cost of such improvements, alterations, modifications and/or repairs within 10 business days after Tenant’s receipt of an invoice therefor from Landlord.</w:t>
      </w:r>
    </w:p>
    <w:p>
      <w:pPr>
        <w:spacing w:after="0" w:line="182"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 xml:space="preserve">q. </w:t>
      </w:r>
      <w:r>
        <w:rPr>
          <w:rFonts w:ascii="Arial" w:cs="Arial" w:eastAsia="Arial" w:hAnsi="Arial"/>
          <w:sz w:val="18"/>
          <w:szCs w:val="18"/>
          <w:b w:val="1"/>
          <w:bCs w:val="1"/>
          <w:color w:val="auto"/>
        </w:rPr>
        <w:t>Counterparts</w:t>
      </w:r>
      <w:r>
        <w:rPr>
          <w:rFonts w:ascii="Arial" w:cs="Arial" w:eastAsia="Arial" w:hAnsi="Arial"/>
          <w:sz w:val="18"/>
          <w:szCs w:val="18"/>
          <w:color w:val="auto"/>
        </w:rPr>
        <w:t>. This Lease may be executed in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Lease and all matters related thereto, with such electronic signatures having the same legal effect as original signatures.</w:t>
      </w:r>
    </w:p>
    <w:p>
      <w:pPr>
        <w:spacing w:after="0" w:line="179" w:lineRule="exact"/>
        <w:rPr>
          <w:sz w:val="20"/>
          <w:szCs w:val="20"/>
          <w:color w:val="auto"/>
        </w:rPr>
      </w:pPr>
    </w:p>
    <w:p>
      <w:pPr>
        <w:jc w:val="both"/>
        <w:ind w:right="100"/>
        <w:spacing w:after="0" w:line="247" w:lineRule="auto"/>
        <w:rPr>
          <w:sz w:val="20"/>
          <w:szCs w:val="20"/>
          <w:color w:val="auto"/>
        </w:rPr>
      </w:pPr>
      <w:r>
        <w:rPr>
          <w:rFonts w:ascii="Arial" w:cs="Arial" w:eastAsia="Arial" w:hAnsi="Arial"/>
          <w:sz w:val="18"/>
          <w:szCs w:val="18"/>
          <w:color w:val="auto"/>
        </w:rPr>
        <w:t xml:space="preserve">r. </w:t>
      </w:r>
      <w:r>
        <w:rPr>
          <w:rFonts w:ascii="Arial" w:cs="Arial" w:eastAsia="Arial" w:hAnsi="Arial"/>
          <w:sz w:val="18"/>
          <w:szCs w:val="18"/>
          <w:b w:val="1"/>
          <w:bCs w:val="1"/>
          <w:color w:val="auto"/>
        </w:rPr>
        <w:t>Shuttle Services</w:t>
      </w:r>
      <w:r>
        <w:rPr>
          <w:rFonts w:ascii="Arial" w:cs="Arial" w:eastAsia="Arial" w:hAnsi="Arial"/>
          <w:sz w:val="18"/>
          <w:szCs w:val="18"/>
          <w:color w:val="auto"/>
        </w:rPr>
        <w:t>. Genentech Inc., a Delaware corporation (“</w:t>
      </w:r>
      <w:r>
        <w:rPr>
          <w:rFonts w:ascii="Arial" w:cs="Arial" w:eastAsia="Arial" w:hAnsi="Arial"/>
          <w:sz w:val="18"/>
          <w:szCs w:val="18"/>
          <w:b w:val="1"/>
          <w:bCs w:val="1"/>
          <w:color w:val="auto"/>
        </w:rPr>
        <w:t>Genentech</w:t>
      </w:r>
      <w:r>
        <w:rPr>
          <w:rFonts w:ascii="Arial" w:cs="Arial" w:eastAsia="Arial" w:hAnsi="Arial"/>
          <w:sz w:val="18"/>
          <w:szCs w:val="18"/>
          <w:color w:val="auto"/>
        </w:rPr>
        <w:t>”), an employer located in South San Francisco, California and in the vicinity of the Project, is a party to a shuttle service agreement with SFO Airporter, Inc. and/or other provider(s) (collectively, “</w:t>
      </w:r>
      <w:r>
        <w:rPr>
          <w:rFonts w:ascii="Arial" w:cs="Arial" w:eastAsia="Arial" w:hAnsi="Arial"/>
          <w:sz w:val="18"/>
          <w:szCs w:val="18"/>
          <w:b w:val="1"/>
          <w:bCs w:val="1"/>
          <w:color w:val="auto"/>
        </w:rPr>
        <w:t>Operator</w:t>
      </w:r>
      <w:r>
        <w:rPr>
          <w:rFonts w:ascii="Arial" w:cs="Arial" w:eastAsia="Arial" w:hAnsi="Arial"/>
          <w:sz w:val="18"/>
          <w:szCs w:val="18"/>
          <w:color w:val="auto"/>
        </w:rPr>
        <w:t>”) (the “</w:t>
      </w:r>
      <w:r>
        <w:rPr>
          <w:rFonts w:ascii="Arial" w:cs="Arial" w:eastAsia="Arial" w:hAnsi="Arial"/>
          <w:sz w:val="18"/>
          <w:szCs w:val="18"/>
          <w:b w:val="1"/>
          <w:bCs w:val="1"/>
          <w:color w:val="auto"/>
        </w:rPr>
        <w:t>Shuttle Agreement</w:t>
      </w:r>
      <w:r>
        <w:rPr>
          <w:rFonts w:ascii="Arial" w:cs="Arial" w:eastAsia="Arial" w:hAnsi="Arial"/>
          <w:sz w:val="18"/>
          <w:szCs w:val="18"/>
          <w:color w:val="auto"/>
        </w:rPr>
        <w:t>”). Genentech has agreed to extend shuttle services (“</w:t>
      </w:r>
      <w:r>
        <w:rPr>
          <w:rFonts w:ascii="Arial" w:cs="Arial" w:eastAsia="Arial" w:hAnsi="Arial"/>
          <w:sz w:val="18"/>
          <w:szCs w:val="18"/>
          <w:b w:val="1"/>
          <w:bCs w:val="1"/>
          <w:color w:val="auto"/>
        </w:rPr>
        <w:t>Shuttle Services</w:t>
      </w:r>
      <w:r>
        <w:rPr>
          <w:rFonts w:ascii="Arial" w:cs="Arial" w:eastAsia="Arial" w:hAnsi="Arial"/>
          <w:sz w:val="18"/>
          <w:szCs w:val="18"/>
          <w:color w:val="auto"/>
        </w:rPr>
        <w:t>”) under the Shuttle Agreement to tenants at the Project.</w:t>
      </w:r>
    </w:p>
    <w:p>
      <w:pPr>
        <w:spacing w:after="0" w:line="196"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 xml:space="preserve">Tenant acknowledges that as an amenity to Tenant, Landlord plans to offer the Shuttle Services to Tenant and other tenants at the Project;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Landlord nor any affiliate of Landlord shall be obligated to provide the Shuttle Services (or, once the Shuttle Services have commenced, to continue to contract with Genentech to provide the Shuttle Services for any specific period of time) or to cause the Shuttle Services to follow any specific route, make any specific stops, or adhere to any specific schedule or hours of operation. When the Shuttle Services become available, (i) Landlord shall give Tenant written notice of the date such operation will commence (“</w:t>
      </w:r>
      <w:r>
        <w:rPr>
          <w:rFonts w:ascii="Arial" w:cs="Arial" w:eastAsia="Arial" w:hAnsi="Arial"/>
          <w:sz w:val="18"/>
          <w:szCs w:val="18"/>
          <w:b w:val="1"/>
          <w:bCs w:val="1"/>
          <w:color w:val="auto"/>
        </w:rPr>
        <w:t>Shuttle</w:t>
      </w:r>
      <w:r>
        <w:rPr>
          <w:rFonts w:ascii="Arial" w:cs="Arial" w:eastAsia="Arial" w:hAnsi="Arial"/>
          <w:sz w:val="18"/>
          <w:szCs w:val="18"/>
          <w:color w:val="auto"/>
        </w:rPr>
        <w:t xml:space="preserve"> </w:t>
      </w:r>
      <w:r>
        <w:rPr>
          <w:rFonts w:ascii="Arial" w:cs="Arial" w:eastAsia="Arial" w:hAnsi="Arial"/>
          <w:sz w:val="18"/>
          <w:szCs w:val="18"/>
          <w:b w:val="1"/>
          <w:bCs w:val="1"/>
          <w:color w:val="auto"/>
        </w:rPr>
        <w:t>Services Commencement Date</w:t>
      </w:r>
      <w:r>
        <w:rPr>
          <w:rFonts w:ascii="Arial" w:cs="Arial" w:eastAsia="Arial" w:hAnsi="Arial"/>
          <w:sz w:val="18"/>
          <w:szCs w:val="18"/>
          <w:color w:val="auto"/>
        </w:rPr>
        <w:t>”) and the planned route, stops, schedule, and hours of operation, (ii) Tenant’s employees actually employed</w:t>
      </w:r>
      <w:r>
        <w:rPr>
          <w:rFonts w:ascii="Arial" w:cs="Arial" w:eastAsia="Arial" w:hAnsi="Arial"/>
          <w:sz w:val="18"/>
          <w:szCs w:val="18"/>
          <w:b w:val="1"/>
          <w:bCs w:val="1"/>
          <w:color w:val="auto"/>
        </w:rPr>
        <w:t xml:space="preserve"> </w:t>
      </w:r>
      <w:r>
        <w:rPr>
          <w:rFonts w:ascii="Arial" w:cs="Arial" w:eastAsia="Arial" w:hAnsi="Arial"/>
          <w:sz w:val="18"/>
          <w:szCs w:val="18"/>
          <w:color w:val="auto"/>
        </w:rPr>
        <w:t>at the Project shall be permitted, upon evidence to Operator that they are tenants at the Project, to use the Shuttle Services, and (iii) commencing on the Shuttle Services Commencement Date through the earlier of the expiration of the Term or the date that the Shuttle Services cease, Operating Expenses shall include the cost incurred by Landlord in connection with the Shuttle Services (with the first 12 months of costs for such Shuttle Services being deemed the Base Year amount). Tenant acknowledges and agrees that Landlord has not made any representations or warranties regarding the commencement, reliability or continued availability of the Shuttle Services throughout the Term. Tenant further acknowledges that the wi-fi provided by the Shuttle Services, if any, is unsecured, has no guarantee of security and Tenant agrees to inform Tenant’s employees to take appropriate precautions when using the Shuttle Services.</w:t>
      </w:r>
    </w:p>
    <w:p>
      <w:pPr>
        <w:spacing w:after="0" w:line="203"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Landlord and the Landlord Parties shall not have any liability to Tenant or any of Tenant’s employees for any matters in connection with the Shuttle Services and Landlord (and the Landlord Parties) shall not be liable for any damages arising from any act, omission or neglect of Genentech or Operator. Tenant hereby waives all Claims against Landlord (and the Landlord Parties) for losses or damages resulting from any accident or occurrence arising in connection with the Shuttle Services.</w:t>
      </w:r>
    </w:p>
    <w:p>
      <w:pPr>
        <w:spacing w:after="0" w:line="18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color w:val="auto"/>
        </w:rPr>
        <w:t>Project Specific Requirements</w:t>
      </w:r>
      <w:r>
        <w:rPr>
          <w:rFonts w:ascii="Arial" w:cs="Arial" w:eastAsia="Arial" w:hAnsi="Arial"/>
          <w:sz w:val="18"/>
          <w:szCs w:val="18"/>
          <w:color w:val="auto"/>
        </w:rPr>
        <w:t>. This Lease is made and accepted subject to the provisions, covenants, conditions and restrictions set forth in that certain Declaration of Restrictive Covenants to Run with Certain Land, recorded November 25, 1981 in the official records of San Mateo County (the “</w:t>
      </w:r>
      <w:r>
        <w:rPr>
          <w:rFonts w:ascii="Arial" w:cs="Arial" w:eastAsia="Arial" w:hAnsi="Arial"/>
          <w:sz w:val="18"/>
          <w:szCs w:val="18"/>
          <w:b w:val="1"/>
          <w:bCs w:val="1"/>
          <w:color w:val="auto"/>
        </w:rPr>
        <w:t>Official Records</w:t>
      </w:r>
      <w:r>
        <w:rPr>
          <w:rFonts w:ascii="Arial" w:cs="Arial" w:eastAsia="Arial" w:hAnsi="Arial"/>
          <w:sz w:val="18"/>
          <w:szCs w:val="18"/>
          <w:color w:val="auto"/>
        </w:rPr>
        <w:t>”) as Instrument No. 11467AT, as amended by that certain First Amendment to Declaration of Restrictive Covenants to Run with Certain Land, recorded April 9, 1985 in the Official Records as Instrument No. 85033403, the provisions of which are incorporated herein by this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4" w:name="page185"/>
    <w:bookmarkEnd w:id="184"/>
    <w:p>
      <w:pPr>
        <w:jc w:val="center"/>
        <w:ind w:right="19"/>
        <w:spacing w:after="0"/>
        <w:rPr>
          <w:sz w:val="20"/>
          <w:szCs w:val="20"/>
          <w:color w:val="auto"/>
        </w:rPr>
      </w:pPr>
      <w:r>
        <w:rPr>
          <w:rFonts w:ascii="Arial" w:cs="Arial" w:eastAsia="Arial" w:hAnsi="Arial"/>
          <w:sz w:val="18"/>
          <w:szCs w:val="18"/>
          <w:b w:val="1"/>
          <w:bCs w:val="1"/>
          <w:color w:val="auto"/>
        </w:rPr>
        <w:t>[ Signatures on next page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453390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19" w:right="1440"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color w:val="auto"/>
        </w:rPr>
        <w:t>IN WITNESS WHEREOF, Landlord and Tenant have executed this Lease as of the day and year first above written.</w:t>
      </w:r>
    </w:p>
    <w:p>
      <w:pPr>
        <w:spacing w:after="0" w:line="200" w:lineRule="exact"/>
        <w:rPr>
          <w:sz w:val="20"/>
          <w:szCs w:val="20"/>
          <w:color w:val="auto"/>
        </w:rPr>
      </w:pPr>
    </w:p>
    <w:p>
      <w:pPr>
        <w:spacing w:after="0" w:line="368"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8"/>
          <w:szCs w:val="18"/>
          <w:b w:val="1"/>
          <w:bCs w:val="1"/>
          <w:color w:val="auto"/>
        </w:rPr>
        <w:t>TENANT:</w:t>
      </w:r>
      <w:r>
        <w:rPr>
          <w:sz w:val="20"/>
          <w:szCs w:val="20"/>
          <w:color w:val="auto"/>
        </w:rPr>
        <w:tab/>
      </w:r>
      <w:r>
        <w:rPr>
          <w:rFonts w:ascii="Arial" w:cs="Arial" w:eastAsia="Arial" w:hAnsi="Arial"/>
          <w:sz w:val="18"/>
          <w:szCs w:val="18"/>
          <w:b w:val="1"/>
          <w:bCs w:val="1"/>
          <w:color w:val="auto"/>
        </w:rPr>
        <w:t>ALIGOS THERAPEUTICS, INC.</w:t>
      </w:r>
      <w:r>
        <w:rPr>
          <w:rFonts w:ascii="Arial" w:cs="Arial" w:eastAsia="Arial" w:hAnsi="Arial"/>
          <w:sz w:val="18"/>
          <w:szCs w:val="18"/>
          <w:color w:val="auto"/>
        </w:rPr>
        <w:t>,</w:t>
      </w:r>
    </w:p>
    <w:p>
      <w:pPr>
        <w:spacing w:after="0" w:line="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Delaware corporation</w:t>
      </w:r>
    </w:p>
    <w:p>
      <w:pPr>
        <w:spacing w:after="0" w:line="15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Lucinda Quan</w:t>
      </w:r>
    </w:p>
    <w:p>
      <w:pPr>
        <w:ind w:left="5660"/>
        <w:spacing w:after="0" w:line="234" w:lineRule="auto"/>
        <w:rPr>
          <w:sz w:val="20"/>
          <w:szCs w:val="20"/>
          <w:color w:val="auto"/>
        </w:rPr>
      </w:pPr>
      <w:r>
        <w:rPr>
          <w:rFonts w:ascii="Arial" w:cs="Arial" w:eastAsia="Arial" w:hAnsi="Arial"/>
          <w:sz w:val="18"/>
          <w:szCs w:val="18"/>
          <w:color w:val="auto"/>
        </w:rPr>
        <w:t>Name: Lucinda Quan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-127000</wp:posOffset>
            </wp:positionV>
            <wp:extent cx="320611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Its: EVP, CBO &amp; Gen'l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20611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1">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-1905</wp:posOffset>
            </wp:positionV>
            <wp:extent cx="320611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31" w:lineRule="exact"/>
        <w:rPr>
          <w:sz w:val="20"/>
          <w:szCs w:val="20"/>
          <w:color w:val="auto"/>
        </w:rPr>
      </w:pPr>
    </w:p>
    <w:p>
      <w:pPr>
        <w:ind w:left="5660"/>
        <w:spacing w:after="0" w:line="196"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7"/>
          <w:szCs w:val="17"/>
          <w:color w:val="auto"/>
        </w:rPr>
        <w:t xml:space="preserve"> I hereby certify that the signature, name, and title</w:t>
      </w:r>
    </w:p>
    <w:p>
      <w:pPr>
        <w:ind w:left="5660"/>
        <w:spacing w:after="0"/>
        <w:rPr>
          <w:sz w:val="20"/>
          <w:szCs w:val="20"/>
          <w:color w:val="auto"/>
        </w:rPr>
      </w:pPr>
      <w:r>
        <w:rPr>
          <w:rFonts w:ascii="Arial" w:cs="Arial" w:eastAsia="Arial" w:hAnsi="Arial"/>
          <w:sz w:val="18"/>
          <w:szCs w:val="18"/>
          <w:color w:val="auto"/>
        </w:rPr>
        <w:t>above are my signature, name and title</w:t>
      </w: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LANDLORD:</w:t>
      </w:r>
    </w:p>
    <w:p>
      <w:pPr>
        <w:ind w:left="1920"/>
        <w:spacing w:after="0" w:line="208" w:lineRule="auto"/>
        <w:rPr>
          <w:sz w:val="20"/>
          <w:szCs w:val="20"/>
          <w:color w:val="auto"/>
        </w:rPr>
      </w:pPr>
      <w:r>
        <w:rPr>
          <w:rFonts w:ascii="Arial" w:cs="Arial" w:eastAsia="Arial" w:hAnsi="Arial"/>
          <w:sz w:val="18"/>
          <w:szCs w:val="18"/>
          <w:b w:val="1"/>
          <w:bCs w:val="1"/>
          <w:color w:val="auto"/>
        </w:rPr>
        <w:t>601 &amp; 651 GATEWAY CENTER LP</w:t>
      </w:r>
      <w:r>
        <w:rPr>
          <w:rFonts w:ascii="Arial" w:cs="Arial" w:eastAsia="Arial" w:hAnsi="Arial"/>
          <w:sz w:val="18"/>
          <w:szCs w:val="18"/>
          <w:color w:val="auto"/>
        </w:rPr>
        <w:t>,</w:t>
      </w:r>
    </w:p>
    <w:p>
      <w:pPr>
        <w:ind w:left="1920"/>
        <w:spacing w:after="0"/>
        <w:rPr>
          <w:sz w:val="20"/>
          <w:szCs w:val="20"/>
          <w:color w:val="auto"/>
        </w:rPr>
      </w:pPr>
      <w:r>
        <w:rPr>
          <w:rFonts w:ascii="Arial" w:cs="Arial" w:eastAsia="Arial" w:hAnsi="Arial"/>
          <w:sz w:val="18"/>
          <w:szCs w:val="18"/>
          <w:color w:val="auto"/>
        </w:rPr>
        <w:t>a Delaware limited partnership</w:t>
      </w:r>
    </w:p>
    <w:p>
      <w:pPr>
        <w:sectPr>
          <w:pgSz w:w="11900" w:h="16838" w:orient="portrait"/>
          <w:cols w:equalWidth="0" w:num="1">
            <w:col w:w="10139"/>
          </w:cols>
          <w:pgMar w:left="320" w:top="949" w:right="1440" w:bottom="1440" w:gutter="0" w:footer="0" w:header="0"/>
        </w:sectPr>
      </w:pPr>
    </w:p>
    <w:p>
      <w:pPr>
        <w:spacing w:after="0" w:line="158"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GATEWAY CENTER GP LLC,</w:t>
      </w:r>
    </w:p>
    <w:p>
      <w:pPr>
        <w:spacing w:after="0" w:line="215" w:lineRule="auto"/>
        <w:rPr>
          <w:sz w:val="20"/>
          <w:szCs w:val="20"/>
          <w:color w:val="auto"/>
        </w:rPr>
      </w:pPr>
      <w:r>
        <w:rPr>
          <w:rFonts w:ascii="Arial" w:cs="Arial" w:eastAsia="Arial" w:hAnsi="Arial"/>
          <w:sz w:val="17"/>
          <w:szCs w:val="17"/>
          <w:color w:val="auto"/>
        </w:rPr>
        <w:t>a Delaware limited liability company,</w:t>
      </w:r>
    </w:p>
    <w:p>
      <w:pPr>
        <w:spacing w:after="0"/>
        <w:rPr>
          <w:sz w:val="20"/>
          <w:szCs w:val="20"/>
          <w:color w:val="auto"/>
        </w:rPr>
      </w:pPr>
      <w:r>
        <w:rPr>
          <w:rFonts w:ascii="Arial" w:cs="Arial" w:eastAsia="Arial" w:hAnsi="Arial"/>
          <w:sz w:val="18"/>
          <w:szCs w:val="18"/>
          <w:color w:val="auto"/>
        </w:rPr>
        <w:t>general partner</w:t>
      </w:r>
    </w:p>
    <w:p>
      <w:pPr>
        <w:spacing w:after="0" w:line="140" w:lineRule="exact"/>
        <w:rPr>
          <w:sz w:val="20"/>
          <w:szCs w:val="20"/>
          <w:color w:val="auto"/>
        </w:rPr>
      </w:pPr>
    </w:p>
    <w:p>
      <w:pPr>
        <w:sectPr>
          <w:pgSz w:w="11900" w:h="16838" w:orient="portrait"/>
          <w:cols w:equalWidth="0" w:num="2">
            <w:col w:w="3080" w:space="720"/>
            <w:col w:w="6339"/>
          </w:cols>
          <w:pgMar w:left="320" w:top="949" w:right="1440" w:bottom="1440" w:gutter="0" w:footer="0" w:header="0"/>
          <w:type w:val="continuous"/>
        </w:sectPr>
      </w:pPr>
    </w:p>
    <w:p>
      <w:pPr>
        <w:spacing w:after="0" w:line="31"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GATEWAY PORTFOLIO MEMBER LLC,</w:t>
      </w:r>
    </w:p>
    <w:p>
      <w:pPr>
        <w:spacing w:after="0"/>
        <w:rPr>
          <w:sz w:val="20"/>
          <w:szCs w:val="20"/>
          <w:color w:val="auto"/>
        </w:rPr>
      </w:pPr>
      <w:r>
        <w:rPr>
          <w:rFonts w:ascii="Arial" w:cs="Arial" w:eastAsia="Arial" w:hAnsi="Arial"/>
          <w:sz w:val="17"/>
          <w:szCs w:val="17"/>
          <w:color w:val="auto"/>
        </w:rPr>
        <w:t>a Delaware limited liability company, managing member</w:t>
      </w:r>
    </w:p>
    <w:p>
      <w:pPr>
        <w:spacing w:after="0" w:line="183" w:lineRule="exact"/>
        <w:rPr>
          <w:sz w:val="20"/>
          <w:szCs w:val="20"/>
          <w:color w:val="auto"/>
        </w:rPr>
      </w:pPr>
    </w:p>
    <w:p>
      <w:pPr>
        <w:sectPr>
          <w:pgSz w:w="11900" w:h="16838" w:orient="portrait"/>
          <w:cols w:equalWidth="0" w:num="2">
            <w:col w:w="3080" w:space="720"/>
            <w:col w:w="6339"/>
          </w:cols>
          <w:pgMar w:left="320" w:top="949" w:right="1440" w:bottom="1440" w:gutter="0" w:footer="0" w:header="0"/>
          <w:type w:val="continuous"/>
        </w:sectPr>
      </w:pPr>
    </w:p>
    <w:p>
      <w:pPr>
        <w:ind w:left="19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ind w:right="1999"/>
        <w:spacing w:after="0" w:line="227" w:lineRule="auto"/>
        <w:rPr>
          <w:sz w:val="20"/>
          <w:szCs w:val="20"/>
          <w:color w:val="auto"/>
        </w:rPr>
      </w:pPr>
      <w:r>
        <w:rPr>
          <w:rFonts w:ascii="Arial" w:cs="Arial" w:eastAsia="Arial" w:hAnsi="Arial"/>
          <w:sz w:val="18"/>
          <w:szCs w:val="18"/>
          <w:color w:val="auto"/>
        </w:rPr>
        <w:t>GATEWAY PORTFOLIO HOLDINGS LLC, a Delaware limited liability company, managing member</w:t>
      </w:r>
    </w:p>
    <w:p>
      <w:pPr>
        <w:spacing w:after="0" w:line="130" w:lineRule="exact"/>
        <w:rPr>
          <w:sz w:val="20"/>
          <w:szCs w:val="20"/>
          <w:color w:val="auto"/>
        </w:rPr>
      </w:pPr>
    </w:p>
    <w:p>
      <w:pPr>
        <w:sectPr>
          <w:pgSz w:w="11900" w:h="16838" w:orient="portrait"/>
          <w:cols w:equalWidth="0" w:num="2">
            <w:col w:w="3080" w:space="720"/>
            <w:col w:w="6339"/>
          </w:cols>
          <w:pgMar w:left="320" w:top="949" w:right="1440" w:bottom="1440" w:gutter="0" w:footer="0" w:header="0"/>
          <w:type w:val="continuous"/>
        </w:sectPr>
      </w:pPr>
    </w:p>
    <w:p>
      <w:pPr>
        <w:spacing w:after="0" w:line="32"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ARE-SAN FRANCISCO NO. 83, LLC</w:t>
      </w:r>
    </w:p>
    <w:p>
      <w:pPr>
        <w:spacing w:after="0"/>
        <w:rPr>
          <w:sz w:val="20"/>
          <w:szCs w:val="20"/>
          <w:color w:val="auto"/>
        </w:rPr>
      </w:pPr>
      <w:r>
        <w:rPr>
          <w:rFonts w:ascii="Arial" w:cs="Arial" w:eastAsia="Arial" w:hAnsi="Arial"/>
          <w:sz w:val="17"/>
          <w:szCs w:val="17"/>
          <w:color w:val="auto"/>
        </w:rPr>
        <w:t>a Delaware limited liability company, managing member</w:t>
      </w:r>
    </w:p>
    <w:p>
      <w:pPr>
        <w:spacing w:after="0" w:line="200" w:lineRule="exact"/>
        <w:rPr>
          <w:sz w:val="20"/>
          <w:szCs w:val="20"/>
          <w:color w:val="auto"/>
        </w:rPr>
      </w:pPr>
    </w:p>
    <w:p>
      <w:pPr>
        <w:sectPr>
          <w:pgSz w:w="11900" w:h="16838" w:orient="portrait"/>
          <w:cols w:equalWidth="0" w:num="2">
            <w:col w:w="3080" w:space="720"/>
            <w:col w:w="6339"/>
          </w:cols>
          <w:pgMar w:left="320" w:top="949" w:right="1440" w:bottom="1440" w:gutter="0" w:footer="0" w:header="0"/>
          <w:type w:val="continuous"/>
        </w:sectPr>
      </w:pPr>
    </w:p>
    <w:p>
      <w:pPr>
        <w:spacing w:after="0" w:line="158"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ALEXANDRIA REAL ESTATE EQUITIES, L.P., a</w:t>
      </w:r>
    </w:p>
    <w:p>
      <w:pPr>
        <w:spacing w:after="0"/>
        <w:rPr>
          <w:sz w:val="20"/>
          <w:szCs w:val="20"/>
          <w:color w:val="auto"/>
        </w:rPr>
      </w:pPr>
      <w:r>
        <w:rPr>
          <w:rFonts w:ascii="Arial" w:cs="Arial" w:eastAsia="Arial" w:hAnsi="Arial"/>
          <w:sz w:val="17"/>
          <w:szCs w:val="17"/>
          <w:color w:val="auto"/>
        </w:rPr>
        <w:t>Delaware limited partnership, managing member</w:t>
      </w:r>
    </w:p>
    <w:p>
      <w:pPr>
        <w:spacing w:after="0" w:line="151" w:lineRule="exact"/>
        <w:rPr>
          <w:sz w:val="20"/>
          <w:szCs w:val="20"/>
          <w:color w:val="auto"/>
        </w:rPr>
      </w:pPr>
    </w:p>
    <w:p>
      <w:pPr>
        <w:sectPr>
          <w:pgSz w:w="11900" w:h="16838" w:orient="portrait"/>
          <w:cols w:equalWidth="0" w:num="2">
            <w:col w:w="3080" w:space="720"/>
            <w:col w:w="6339"/>
          </w:cols>
          <w:pgMar w:left="320" w:top="949" w:right="1440" w:bottom="1440" w:gutter="0" w:footer="0" w:header="0"/>
          <w:type w:val="continuous"/>
        </w:sectPr>
      </w:pPr>
    </w:p>
    <w:p>
      <w:pPr>
        <w:spacing w:after="0" w:line="32"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ARE-QRS CORP.,</w:t>
      </w:r>
    </w:p>
    <w:p>
      <w:pPr>
        <w:spacing w:after="0"/>
        <w:rPr>
          <w:sz w:val="20"/>
          <w:szCs w:val="20"/>
          <w:color w:val="auto"/>
        </w:rPr>
      </w:pPr>
      <w:r>
        <w:rPr>
          <w:rFonts w:ascii="Arial" w:cs="Arial" w:eastAsia="Arial" w:hAnsi="Arial"/>
          <w:sz w:val="17"/>
          <w:szCs w:val="17"/>
          <w:color w:val="auto"/>
        </w:rPr>
        <w:t>a Maryland corporation, general partner</w:t>
      </w:r>
    </w:p>
    <w:p>
      <w:pPr>
        <w:spacing w:after="0" w:line="200" w:lineRule="exact"/>
        <w:rPr>
          <w:sz w:val="20"/>
          <w:szCs w:val="20"/>
          <w:color w:val="auto"/>
        </w:rPr>
      </w:pPr>
    </w:p>
    <w:p>
      <w:pPr>
        <w:sectPr>
          <w:pgSz w:w="11900" w:h="16838" w:orient="portrait"/>
          <w:cols w:equalWidth="0" w:num="2">
            <w:col w:w="3080" w:space="720"/>
            <w:col w:w="6339"/>
          </w:cols>
          <w:pgMar w:left="320" w:top="949" w:right="1440" w:bottom="1440" w:gutter="0" w:footer="0" w:header="0"/>
          <w:type w:val="continuous"/>
        </w:sectPr>
      </w:pPr>
    </w:p>
    <w:p>
      <w:pPr>
        <w:spacing w:after="0" w:line="16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Kristen Childs</w:t>
      </w:r>
    </w:p>
    <w:p>
      <w:pPr>
        <w:ind w:left="5700"/>
        <w:spacing w:after="0" w:line="234" w:lineRule="auto"/>
        <w:rPr>
          <w:sz w:val="20"/>
          <w:szCs w:val="20"/>
          <w:color w:val="auto"/>
        </w:rPr>
      </w:pPr>
      <w:r>
        <w:rPr>
          <w:rFonts w:ascii="Arial" w:cs="Arial" w:eastAsia="Arial" w:hAnsi="Arial"/>
          <w:sz w:val="18"/>
          <w:szCs w:val="18"/>
          <w:color w:val="auto"/>
        </w:rPr>
        <w:t>Name: Kristen Childs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-127000</wp:posOffset>
            </wp:positionV>
            <wp:extent cx="35318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3">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ind w:left="5700"/>
        <w:spacing w:after="0"/>
        <w:rPr>
          <w:sz w:val="20"/>
          <w:szCs w:val="20"/>
          <w:color w:val="auto"/>
        </w:rPr>
      </w:pPr>
      <w:r>
        <w:rPr>
          <w:rFonts w:ascii="Arial" w:cs="Arial" w:eastAsia="Arial" w:hAnsi="Arial"/>
          <w:sz w:val="18"/>
          <w:szCs w:val="18"/>
          <w:color w:val="auto"/>
        </w:rPr>
        <w:t>Its: Vice President - Real Estate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-130175</wp:posOffset>
            </wp:positionV>
            <wp:extent cx="353187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4">
                      <a:extLst>
                        <a:ext uri="{28A0092B-C50C-407E-A947-70E740481C1C}"/>
                      </a:extLst>
                    </a:blip>
                    <a:srcRect/>
                    <a:stretch>
                      <a:fillRect/>
                    </a:stretch>
                  </pic:blipFill>
                  <pic:spPr bwMode="auto">
                    <a:xfrm>
                      <a:off x="0" y="0"/>
                      <a:ext cx="353187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-1905</wp:posOffset>
            </wp:positionV>
            <wp:extent cx="353187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5">
                      <a:extLst>
                        <a:ext uri="{28A0092B-C50C-407E-A947-70E740481C1C}"/>
                      </a:extLst>
                    </a:blip>
                    <a:srcRect/>
                    <a:stretch>
                      <a:fillRect/>
                    </a:stretch>
                  </pic:blipFill>
                  <pic:spPr bwMode="auto">
                    <a:xfrm>
                      <a:off x="0" y="0"/>
                      <a:ext cx="353187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1082040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49" w:right="1440" w:bottom="1440" w:gutter="0" w:footer="0" w:header="0"/>
          <w:type w:val="continuous"/>
        </w:sectPr>
      </w:pPr>
    </w:p>
    <w:bookmarkStart w:id="186" w:name="page187"/>
    <w:bookmarkEnd w:id="186"/>
    <w:p>
      <w:pPr>
        <w:jc w:val="center"/>
        <w:ind w:right="19"/>
        <w:spacing w:after="0"/>
        <w:rPr>
          <w:sz w:val="20"/>
          <w:szCs w:val="20"/>
          <w:color w:val="auto"/>
        </w:rPr>
      </w:pPr>
      <w:r>
        <w:rPr>
          <w:rFonts w:ascii="Arial" w:cs="Arial" w:eastAsia="Arial" w:hAnsi="Arial"/>
          <w:sz w:val="18"/>
          <w:szCs w:val="18"/>
          <w:b w:val="1"/>
          <w:bCs w:val="1"/>
          <w:color w:val="auto"/>
        </w:rPr>
        <w:t>EXHIBIT A TO LEASE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DESCRIPTION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268605</wp:posOffset>
            </wp:positionV>
            <wp:extent cx="5349240" cy="4577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7">
                      <a:extLst>
                        <a:ext uri="{28A0092B-C50C-407E-A947-70E740481C1C}"/>
                      </a:extLst>
                    </a:blip>
                    <a:srcRect/>
                    <a:stretch>
                      <a:fillRect/>
                    </a:stretch>
                  </pic:blipFill>
                  <pic:spPr bwMode="auto">
                    <a:xfrm>
                      <a:off x="0" y="0"/>
                      <a:ext cx="5349240" cy="457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B TO LEASE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DESCRIPTION OF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196215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19" w:right="1440" w:bottom="1440" w:gutter="0" w:footer="0" w:header="0"/>
        </w:sectPr>
      </w:pPr>
    </w:p>
    <w:bookmarkStart w:id="187" w:name="page188"/>
    <w:bookmarkEnd w:id="1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7157085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1905635</wp:posOffset>
            </wp:positionH>
            <wp:positionV relativeFrom="page">
              <wp:posOffset>217805</wp:posOffset>
            </wp:positionV>
            <wp:extent cx="3703320" cy="59575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0">
                      <a:clrChange>
                        <a:clrFrom>
                          <a:srgbClr val="FFFFFF"/>
                        </a:clrFrom>
                        <a:clrTo>
                          <a:srgbClr val="FFFFFF">
                            <a:alpha val="0"/>
                          </a:srgbClr>
                        </a:clrTo>
                      </a:clrChange>
                      <a:extLst>
                        <a:ext uri="{28A0092B-C50C-407E-A947-70E740481C1C}"/>
                      </a:extLst>
                    </a:blip>
                    <a:srcRect/>
                    <a:stretch>
                      <a:fillRect/>
                    </a:stretch>
                  </pic:blipFill>
                  <pic:spPr bwMode="auto">
                    <a:xfrm>
                      <a:off x="0" y="0"/>
                      <a:ext cx="3703320" cy="5957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ind w:right="-19"/>
        <w:spacing w:after="0"/>
        <w:rPr>
          <w:sz w:val="20"/>
          <w:szCs w:val="20"/>
          <w:color w:val="auto"/>
        </w:rPr>
      </w:pPr>
      <w:r>
        <w:rPr>
          <w:rFonts w:ascii="Arial" w:cs="Arial" w:eastAsia="Arial" w:hAnsi="Arial"/>
          <w:sz w:val="18"/>
          <w:szCs w:val="18"/>
          <w:b w:val="1"/>
          <w:bCs w:val="1"/>
          <w:color w:val="auto"/>
        </w:rPr>
        <w:t>EXHIBIT C TO LEASE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WORK LETTER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THIS WORK LETTER dated November __, 2021 (this “</w:t>
      </w:r>
      <w:r>
        <w:rPr>
          <w:rFonts w:ascii="Arial" w:cs="Arial" w:eastAsia="Arial" w:hAnsi="Arial"/>
          <w:sz w:val="18"/>
          <w:szCs w:val="18"/>
          <w:b w:val="1"/>
          <w:bCs w:val="1"/>
          <w:color w:val="auto"/>
        </w:rPr>
        <w:t>Work Letter</w:t>
      </w:r>
      <w:r>
        <w:rPr>
          <w:rFonts w:ascii="Arial" w:cs="Arial" w:eastAsia="Arial" w:hAnsi="Arial"/>
          <w:sz w:val="18"/>
          <w:szCs w:val="18"/>
          <w:color w:val="auto"/>
        </w:rPr>
        <w:t xml:space="preserve">”) is made and entered into by and between </w:t>
      </w:r>
      <w:r>
        <w:rPr>
          <w:rFonts w:ascii="Arial" w:cs="Arial" w:eastAsia="Arial" w:hAnsi="Arial"/>
          <w:sz w:val="18"/>
          <w:szCs w:val="18"/>
          <w:b w:val="1"/>
          <w:bCs w:val="1"/>
          <w:color w:val="auto"/>
        </w:rPr>
        <w:t>601 &amp; 651 GATEWAY</w:t>
      </w:r>
      <w:r>
        <w:rPr>
          <w:rFonts w:ascii="Arial" w:cs="Arial" w:eastAsia="Arial" w:hAnsi="Arial"/>
          <w:sz w:val="18"/>
          <w:szCs w:val="18"/>
          <w:color w:val="auto"/>
        </w:rPr>
        <w:t xml:space="preserve"> </w:t>
      </w:r>
      <w:r>
        <w:rPr>
          <w:rFonts w:ascii="Arial" w:cs="Arial" w:eastAsia="Arial" w:hAnsi="Arial"/>
          <w:sz w:val="18"/>
          <w:szCs w:val="18"/>
          <w:b w:val="1"/>
          <w:bCs w:val="1"/>
          <w:color w:val="auto"/>
        </w:rPr>
        <w:t>CENTER LP</w:t>
      </w:r>
      <w:r>
        <w:rPr>
          <w:rFonts w:ascii="Arial" w:cs="Arial" w:eastAsia="Arial" w:hAnsi="Arial"/>
          <w:sz w:val="18"/>
          <w:szCs w:val="18"/>
          <w:color w:val="auto"/>
        </w:rPr>
        <w:t>, a Delaware limited partnership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ALIGOS THERAPEUTICS,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 and is</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to and made a part of the Lease Agreement dated of even date herewith (the “</w:t>
      </w:r>
      <w:r>
        <w:rPr>
          <w:rFonts w:ascii="Arial" w:cs="Arial" w:eastAsia="Arial" w:hAnsi="Arial"/>
          <w:sz w:val="18"/>
          <w:szCs w:val="18"/>
          <w:b w:val="1"/>
          <w:bCs w:val="1"/>
          <w:color w:val="auto"/>
        </w:rPr>
        <w:t>Lease</w:t>
      </w:r>
      <w:r>
        <w:rPr>
          <w:rFonts w:ascii="Arial" w:cs="Arial" w:eastAsia="Arial" w:hAnsi="Arial"/>
          <w:sz w:val="18"/>
          <w:szCs w:val="18"/>
          <w:color w:val="auto"/>
        </w:rPr>
        <w:t>”), by and between Landlord and Tenant. Any initially capitalized terms used but not defined herein shall have the meanings given them in the Lease.</w:t>
      </w:r>
    </w:p>
    <w:p>
      <w:pPr>
        <w:spacing w:after="0" w:line="66" w:lineRule="exact"/>
        <w:rPr>
          <w:sz w:val="20"/>
          <w:szCs w:val="20"/>
          <w:color w:val="auto"/>
        </w:rPr>
      </w:pPr>
    </w:p>
    <w:p>
      <w:pPr>
        <w:ind w:left="720" w:hanging="203"/>
        <w:spacing w:after="0"/>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General Requirements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1020" w:right="300" w:firstLine="6"/>
        <w:spacing w:after="0" w:line="242" w:lineRule="auto"/>
        <w:tabs>
          <w:tab w:leader="none" w:pos="1220"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Tenant’s Authorized Representative</w:t>
      </w:r>
      <w:r>
        <w:rPr>
          <w:rFonts w:ascii="Arial" w:cs="Arial" w:eastAsia="Arial" w:hAnsi="Arial"/>
          <w:sz w:val="18"/>
          <w:szCs w:val="18"/>
          <w:color w:val="auto"/>
        </w:rPr>
        <w:t>. Tenant designates Bharath Kumandan and Robbie Planting (either such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acting alone, “</w:t>
      </w:r>
      <w:r>
        <w:rPr>
          <w:rFonts w:ascii="Arial" w:cs="Arial" w:eastAsia="Arial" w:hAnsi="Arial"/>
          <w:sz w:val="18"/>
          <w:szCs w:val="18"/>
          <w:b w:val="1"/>
          <w:bCs w:val="1"/>
          <w:color w:val="auto"/>
        </w:rPr>
        <w:t>Tenant’s Representative</w:t>
      </w:r>
      <w:r>
        <w:rPr>
          <w:rFonts w:ascii="Arial" w:cs="Arial" w:eastAsia="Arial" w:hAnsi="Arial"/>
          <w:sz w:val="18"/>
          <w:szCs w:val="18"/>
          <w:color w:val="auto"/>
        </w:rPr>
        <w:t>”) as the only persons authorized to act for Tenant pursuant to this Work Letter. Landlord shall not be obligated to respond to or act upon any request, approval, inquiry or other communication (“</w:t>
      </w:r>
      <w:r>
        <w:rPr>
          <w:rFonts w:ascii="Arial" w:cs="Arial" w:eastAsia="Arial" w:hAnsi="Arial"/>
          <w:sz w:val="18"/>
          <w:szCs w:val="18"/>
          <w:b w:val="1"/>
          <w:bCs w:val="1"/>
          <w:color w:val="auto"/>
        </w:rPr>
        <w:t>Communication</w:t>
      </w:r>
      <w:r>
        <w:rPr>
          <w:rFonts w:ascii="Arial" w:cs="Arial" w:eastAsia="Arial" w:hAnsi="Arial"/>
          <w:sz w:val="18"/>
          <w:szCs w:val="18"/>
          <w:color w:val="auto"/>
        </w:rPr>
        <w:t>”) from or on behalf of Tenant in connection with this Work Letter unless such Communication is in writing from Tenant’s Representative. Tenant may change either Tenant’s Representative at any time upon not less than 5 business days advance written notice to Landlord.</w:t>
      </w:r>
    </w:p>
    <w:p>
      <w:pPr>
        <w:spacing w:after="0" w:line="70" w:lineRule="exact"/>
        <w:rPr>
          <w:rFonts w:ascii="Arial" w:cs="Arial" w:eastAsia="Arial" w:hAnsi="Arial"/>
          <w:sz w:val="18"/>
          <w:szCs w:val="18"/>
          <w:color w:val="auto"/>
        </w:rPr>
      </w:pPr>
    </w:p>
    <w:p>
      <w:pPr>
        <w:ind w:left="1020" w:right="80" w:firstLine="6"/>
        <w:spacing w:after="0" w:line="244" w:lineRule="auto"/>
        <w:tabs>
          <w:tab w:leader="none" w:pos="1220"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Landlord’s Authorized Representative</w:t>
      </w:r>
      <w:r>
        <w:rPr>
          <w:rFonts w:ascii="Arial" w:cs="Arial" w:eastAsia="Arial" w:hAnsi="Arial"/>
          <w:sz w:val="18"/>
          <w:szCs w:val="18"/>
          <w:color w:val="auto"/>
        </w:rPr>
        <w:t>. Landlord designates Linda Ray and Greg Gehlen (either such individual acting</w:t>
      </w:r>
      <w:r>
        <w:rPr>
          <w:rFonts w:ascii="Arial" w:cs="Arial" w:eastAsia="Arial" w:hAnsi="Arial"/>
          <w:sz w:val="18"/>
          <w:szCs w:val="18"/>
          <w:b w:val="1"/>
          <w:bCs w:val="1"/>
          <w:color w:val="auto"/>
        </w:rPr>
        <w:t xml:space="preserve"> </w:t>
      </w:r>
      <w:r>
        <w:rPr>
          <w:rFonts w:ascii="Arial" w:cs="Arial" w:eastAsia="Arial" w:hAnsi="Arial"/>
          <w:sz w:val="18"/>
          <w:szCs w:val="18"/>
          <w:color w:val="auto"/>
        </w:rPr>
        <w:t>alone, “</w:t>
      </w:r>
      <w:r>
        <w:rPr>
          <w:rFonts w:ascii="Arial" w:cs="Arial" w:eastAsia="Arial" w:hAnsi="Arial"/>
          <w:sz w:val="18"/>
          <w:szCs w:val="18"/>
          <w:b w:val="1"/>
          <w:bCs w:val="1"/>
          <w:color w:val="auto"/>
        </w:rPr>
        <w:t>Landlord’s Representative</w:t>
      </w:r>
      <w:r>
        <w:rPr>
          <w:rFonts w:ascii="Arial" w:cs="Arial" w:eastAsia="Arial" w:hAnsi="Arial"/>
          <w:sz w:val="18"/>
          <w:szCs w:val="18"/>
          <w:color w:val="auto"/>
        </w:rPr>
        <w:t>”) as the only persons authorized to act for Landlord pursuant to this Work Letter. Tenant shall not be obligated to respond to or act upon any request, approval, inquiry or other Communication from or on behalf of Landlord in connection with this Work Letter unless such Communication is in writing from Landlord’s Representative. Landlord may change either Landlord’s Representative at any time upon not less than 5 business days advance written notice to Tenant.</w:t>
      </w:r>
    </w:p>
    <w:p>
      <w:pPr>
        <w:spacing w:after="0" w:line="68" w:lineRule="exact"/>
        <w:rPr>
          <w:rFonts w:ascii="Arial" w:cs="Arial" w:eastAsia="Arial" w:hAnsi="Arial"/>
          <w:sz w:val="18"/>
          <w:szCs w:val="18"/>
          <w:color w:val="auto"/>
        </w:rPr>
      </w:pPr>
    </w:p>
    <w:p>
      <w:pPr>
        <w:ind w:left="1020" w:firstLine="6"/>
        <w:spacing w:after="0" w:line="242" w:lineRule="auto"/>
        <w:tabs>
          <w:tab w:leader="none" w:pos="1210"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Architects, Consultants and Contractors</w:t>
      </w:r>
      <w:r>
        <w:rPr>
          <w:rFonts w:ascii="Arial" w:cs="Arial" w:eastAsia="Arial" w:hAnsi="Arial"/>
          <w:sz w:val="18"/>
          <w:szCs w:val="18"/>
          <w:color w:val="auto"/>
        </w:rPr>
        <w:t>. Landlord and Tenant hereby acknowledge and agree that: (i) Landmark Builders,</w:t>
      </w:r>
      <w:r>
        <w:rPr>
          <w:rFonts w:ascii="Arial" w:cs="Arial" w:eastAsia="Arial" w:hAnsi="Arial"/>
          <w:sz w:val="18"/>
          <w:szCs w:val="18"/>
          <w:b w:val="1"/>
          <w:bCs w:val="1"/>
          <w:color w:val="auto"/>
        </w:rPr>
        <w:t xml:space="preserve"> </w:t>
      </w:r>
      <w:r>
        <w:rPr>
          <w:rFonts w:ascii="Arial" w:cs="Arial" w:eastAsia="Arial" w:hAnsi="Arial"/>
          <w:sz w:val="18"/>
          <w:szCs w:val="18"/>
          <w:color w:val="auto"/>
        </w:rPr>
        <w:t>Inc. shall be the general contractor for the Tenant Improvements (the “</w:t>
      </w:r>
      <w:r>
        <w:rPr>
          <w:rFonts w:ascii="Arial" w:cs="Arial" w:eastAsia="Arial" w:hAnsi="Arial"/>
          <w:sz w:val="18"/>
          <w:szCs w:val="18"/>
          <w:b w:val="1"/>
          <w:bCs w:val="1"/>
          <w:color w:val="auto"/>
        </w:rPr>
        <w:t>General Contractor</w:t>
      </w:r>
      <w:r>
        <w:rPr>
          <w:rFonts w:ascii="Arial" w:cs="Arial" w:eastAsia="Arial" w:hAnsi="Arial"/>
          <w:sz w:val="18"/>
          <w:szCs w:val="18"/>
          <w:color w:val="auto"/>
        </w:rPr>
        <w:t>”), (ii) DGA shall be the architect (the “</w:t>
      </w:r>
      <w:r>
        <w:rPr>
          <w:rFonts w:ascii="Arial" w:cs="Arial" w:eastAsia="Arial" w:hAnsi="Arial"/>
          <w:sz w:val="18"/>
          <w:szCs w:val="18"/>
          <w:b w:val="1"/>
          <w:bCs w:val="1"/>
          <w:color w:val="auto"/>
        </w:rPr>
        <w:t>TI Architect</w:t>
      </w:r>
      <w:r>
        <w:rPr>
          <w:rFonts w:ascii="Arial" w:cs="Arial" w:eastAsia="Arial" w:hAnsi="Arial"/>
          <w:sz w:val="18"/>
          <w:szCs w:val="18"/>
          <w:color w:val="auto"/>
        </w:rPr>
        <w:t>”) for the Tenant Improvements, and (iii) and any subcontractors for the Tenant Improvements shall be selected by Tenant, subject to Landlord’s approval, which approval shall not be unreasonably withheld, conditioned or delayed. Landlord shall be named a third party beneficiary of any contract entered into by Tenant with the TI Architect, any consultant, any contractor or any subcontractor, and of any warranty made by any contractor or any subcontractor.</w:t>
      </w:r>
    </w:p>
    <w:p>
      <w:pPr>
        <w:spacing w:after="0" w:line="70" w:lineRule="exact"/>
        <w:rPr>
          <w:rFonts w:ascii="Arial" w:cs="Arial" w:eastAsia="Arial" w:hAnsi="Arial"/>
          <w:sz w:val="18"/>
          <w:szCs w:val="18"/>
          <w:color w:val="auto"/>
        </w:rPr>
      </w:pPr>
    </w:p>
    <w:p>
      <w:pPr>
        <w:ind w:left="720" w:hanging="203"/>
        <w:spacing w:after="0"/>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Tenant Improvements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1020" w:right="100" w:firstLine="6"/>
        <w:spacing w:after="0" w:line="247" w:lineRule="auto"/>
        <w:tabs>
          <w:tab w:leader="none" w:pos="1220"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Tenant Improvements Defined</w:t>
      </w:r>
      <w:r>
        <w:rPr>
          <w:rFonts w:ascii="Arial" w:cs="Arial" w:eastAsia="Arial" w:hAnsi="Arial"/>
          <w:sz w:val="18"/>
          <w:szCs w:val="18"/>
          <w:color w:val="auto"/>
        </w:rPr>
        <w:t>. As used herein, “</w:t>
      </w:r>
      <w:r>
        <w:rPr>
          <w:rFonts w:ascii="Arial" w:cs="Arial" w:eastAsia="Arial" w:hAnsi="Arial"/>
          <w:sz w:val="18"/>
          <w:szCs w:val="18"/>
          <w:b w:val="1"/>
          <w:bCs w:val="1"/>
          <w:color w:val="auto"/>
        </w:rPr>
        <w:t>Tenant Improvements</w:t>
      </w:r>
      <w:r>
        <w:rPr>
          <w:rFonts w:ascii="Arial" w:cs="Arial" w:eastAsia="Arial" w:hAnsi="Arial"/>
          <w:sz w:val="18"/>
          <w:szCs w:val="18"/>
          <w:color w:val="auto"/>
        </w:rPr>
        <w:t>” shall mean all improvements to the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desired by Tenant of a fixed and permanent nature shown on the TI Construction Drawings (as defined below). Other than funding the TI Allowance (as defined below) as provided herein, Landlord shall not have any obligation whatsoever with respect to the finishing of the Premises for Tenant’s use and occupancy.</w:t>
      </w:r>
    </w:p>
    <w:p>
      <w:pPr>
        <w:spacing w:after="0" w:line="65" w:lineRule="exact"/>
        <w:rPr>
          <w:rFonts w:ascii="Arial" w:cs="Arial" w:eastAsia="Arial" w:hAnsi="Arial"/>
          <w:sz w:val="18"/>
          <w:szCs w:val="18"/>
          <w:color w:val="auto"/>
        </w:rPr>
      </w:pPr>
    </w:p>
    <w:p>
      <w:pPr>
        <w:ind w:left="1020" w:right="40" w:firstLine="6"/>
        <w:spacing w:after="0" w:line="242" w:lineRule="auto"/>
        <w:tabs>
          <w:tab w:leader="none" w:pos="1220"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Tenant’s Space Plans</w:t>
      </w:r>
      <w:r>
        <w:rPr>
          <w:rFonts w:ascii="Arial" w:cs="Arial" w:eastAsia="Arial" w:hAnsi="Arial"/>
          <w:sz w:val="18"/>
          <w:szCs w:val="18"/>
          <w:color w:val="auto"/>
        </w:rPr>
        <w:t>. Tenant shall deliver to Landlord schematic drawings and outline specifications (the “</w:t>
      </w:r>
      <w:r>
        <w:rPr>
          <w:rFonts w:ascii="Arial" w:cs="Arial" w:eastAsia="Arial" w:hAnsi="Arial"/>
          <w:sz w:val="18"/>
          <w:szCs w:val="18"/>
          <w:b w:val="1"/>
          <w:bCs w:val="1"/>
          <w:color w:val="auto"/>
        </w:rPr>
        <w:t>Space Plans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detailing Tenant’s requirements for the Tenant Improvements within 10 days of the date hereof. Not more than 5 business days thereafter, Landlord shall deliver to Tenant the written objections, questions or comments of Landlord with regard to the Space Plans. Tenant shall cause the Space Plans to be revised to address such written comments and shall resubmit said drawings to Landlord for approval within 5 business days thereafter. Such process shall continue until Landlord has approved the Space Plans. Landlord shall not unreasonably withhold, condition or delay its approval of Space Plans.</w:t>
      </w:r>
    </w:p>
    <w:p>
      <w:pPr>
        <w:spacing w:after="0" w:line="70" w:lineRule="exact"/>
        <w:rPr>
          <w:rFonts w:ascii="Arial" w:cs="Arial" w:eastAsia="Arial" w:hAnsi="Arial"/>
          <w:sz w:val="18"/>
          <w:szCs w:val="18"/>
          <w:color w:val="auto"/>
        </w:rPr>
      </w:pPr>
    </w:p>
    <w:p>
      <w:pPr>
        <w:ind w:left="1020" w:right="120" w:firstLine="6"/>
        <w:spacing w:after="0" w:line="238" w:lineRule="auto"/>
        <w:tabs>
          <w:tab w:leader="none" w:pos="1210"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Working Drawings</w:t>
      </w:r>
      <w:r>
        <w:rPr>
          <w:rFonts w:ascii="Arial" w:cs="Arial" w:eastAsia="Arial" w:hAnsi="Arial"/>
          <w:sz w:val="18"/>
          <w:szCs w:val="18"/>
          <w:color w:val="auto"/>
        </w:rPr>
        <w:t>. Promptly following the approval of the Space Plans by Landlord, Tenant shall cause the TI Architect to</w:t>
      </w:r>
      <w:r>
        <w:rPr>
          <w:rFonts w:ascii="Arial" w:cs="Arial" w:eastAsia="Arial" w:hAnsi="Arial"/>
          <w:sz w:val="18"/>
          <w:szCs w:val="18"/>
          <w:b w:val="1"/>
          <w:bCs w:val="1"/>
          <w:color w:val="auto"/>
        </w:rPr>
        <w:t xml:space="preserve"> </w:t>
      </w:r>
      <w:r>
        <w:rPr>
          <w:rFonts w:ascii="Arial" w:cs="Arial" w:eastAsia="Arial" w:hAnsi="Arial"/>
          <w:sz w:val="18"/>
          <w:szCs w:val="18"/>
          <w:color w:val="auto"/>
        </w:rPr>
        <w:t>prepare and deliver to Landlord for review and comment construction plans, specifications and drawings for the Tenant Improvements (“</w:t>
      </w:r>
      <w:r>
        <w:rPr>
          <w:rFonts w:ascii="Arial" w:cs="Arial" w:eastAsia="Arial" w:hAnsi="Arial"/>
          <w:sz w:val="18"/>
          <w:szCs w:val="18"/>
          <w:b w:val="1"/>
          <w:bCs w:val="1"/>
          <w:color w:val="auto"/>
        </w:rPr>
        <w:t>TI Construction Drawings</w:t>
      </w:r>
      <w:r>
        <w:rPr>
          <w:rFonts w:ascii="Arial" w:cs="Arial" w:eastAsia="Arial" w:hAnsi="Arial"/>
          <w:sz w:val="18"/>
          <w:szCs w:val="18"/>
          <w:color w:val="auto"/>
        </w:rPr>
        <w:t xml:space="preserve">”), which TI Construction Drawings shall be prepared substantially in accordance with the Space Plans. Tenant shall be solely responsible for ensuring that the TI Construction Drawings reflect Tenant’s requirements for the Tenant Improvements. Landlord shall deliver its written comments on the TI Construction Drawings to Tenant not later than 10 business days after Landlord’s receipt of the same; provided, however, that Landlord may not disapprove any matter that is consistent with the Space Plans. Landlord shall not unreasonably withhold, condition or delay its approval of the TI Construction Drawings. Tenant and the TI Architect shall consider all such comments in good faith and shall, within 10 business days after receipt, notify Landlord how Tenant proposes to respond to such comments. Any disputes in connection with such comments shall be resolved in accordance with </w:t>
      </w:r>
      <w:r>
        <w:rPr>
          <w:rFonts w:ascii="Arial" w:cs="Arial" w:eastAsia="Arial" w:hAnsi="Arial"/>
          <w:sz w:val="18"/>
          <w:szCs w:val="18"/>
          <w:u w:val="single" w:color="auto"/>
          <w:color w:val="auto"/>
        </w:rPr>
        <w:t>Section 2(d)</w:t>
      </w:r>
      <w:r>
        <w:rPr>
          <w:rFonts w:ascii="Arial" w:cs="Arial" w:eastAsia="Arial" w:hAnsi="Arial"/>
          <w:sz w:val="18"/>
          <w:szCs w:val="18"/>
          <w:color w:val="auto"/>
        </w:rPr>
        <w:t>hereof. Provided that the design reflected in the TI Construction Drawings is consistent with the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89" w:name="page190"/>
    <w:bookmarkEnd w:id="189"/>
    <w:p>
      <w:pPr>
        <w:ind w:left="503" w:right="280"/>
        <w:spacing w:after="0"/>
        <w:rPr>
          <w:sz w:val="20"/>
          <w:szCs w:val="20"/>
          <w:color w:val="auto"/>
        </w:rPr>
      </w:pPr>
      <w:r>
        <w:rPr>
          <w:rFonts w:ascii="Arial" w:cs="Arial" w:eastAsia="Arial" w:hAnsi="Arial"/>
          <w:sz w:val="18"/>
          <w:szCs w:val="18"/>
          <w:color w:val="auto"/>
        </w:rPr>
        <w:t xml:space="preserve">Plans, Landlord shall approve the TI Construction Drawings submitted by Tenant. Once approved by Landlord, subject to the provisions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below, Tenant shall not materially modify the TI Construction Drawings except as may be reasonably required in connection with the issuance of the TI Permit (as defined in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below).</w:t>
      </w:r>
    </w:p>
    <w:p>
      <w:pPr>
        <w:spacing w:after="0" w:line="73" w:lineRule="exact"/>
        <w:rPr>
          <w:sz w:val="20"/>
          <w:szCs w:val="20"/>
          <w:color w:val="auto"/>
        </w:rPr>
      </w:pPr>
    </w:p>
    <w:p>
      <w:pPr>
        <w:ind w:left="503" w:right="2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color w:val="auto"/>
        </w:rPr>
        <w:t>Approval and Completion</w:t>
      </w:r>
      <w:r>
        <w:rPr>
          <w:rFonts w:ascii="Arial" w:cs="Arial" w:eastAsia="Arial" w:hAnsi="Arial"/>
          <w:sz w:val="18"/>
          <w:szCs w:val="18"/>
          <w:color w:val="auto"/>
        </w:rPr>
        <w:t xml:space="preserve">. If any dispute regarding the design of the Tenant Improvements is not settled within 10 business days after notice of such dispute is delivered by one party to the other, Tenant may make the final decision regarding the design of the Tenant Improvements, provided (i) Tenant acts reasonably and such final decision is either consistent with or a compromise between Landlord’s and Tenant’s positions with respect to such dispute, (ii) that all costs and expenses resulting from any such decision by Tenant shall be payable out of the TI Fund (as defined in </w:t>
      </w:r>
      <w:r>
        <w:rPr>
          <w:rFonts w:ascii="Arial" w:cs="Arial" w:eastAsia="Arial" w:hAnsi="Arial"/>
          <w:sz w:val="18"/>
          <w:szCs w:val="18"/>
          <w:u w:val="single" w:color="auto"/>
          <w:color w:val="auto"/>
        </w:rPr>
        <w:t>Section 5(d)</w:t>
      </w:r>
      <w:r>
        <w:rPr>
          <w:rFonts w:ascii="Arial" w:cs="Arial" w:eastAsia="Arial" w:hAnsi="Arial"/>
          <w:sz w:val="18"/>
          <w:szCs w:val="18"/>
          <w:color w:val="auto"/>
        </w:rPr>
        <w:t xml:space="preserve"> below), and (iii) Tenant’s decision will not affect the base Building, structural components of the Building or any Building systems (in which case Landlord shall make the final decision). Any changes to the TI Construction Drawings following Landlord’s and Tenant’s approval of same requested by Tenant shall be processed as provided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w:t>
      </w:r>
    </w:p>
    <w:p>
      <w:pPr>
        <w:spacing w:after="0" w:line="72" w:lineRule="exact"/>
        <w:rPr>
          <w:sz w:val="20"/>
          <w:szCs w:val="20"/>
          <w:color w:val="auto"/>
        </w:rPr>
      </w:pPr>
    </w:p>
    <w:p>
      <w:pPr>
        <w:ind w:left="203" w:hanging="203"/>
        <w:spacing w:after="0"/>
        <w:tabs>
          <w:tab w:leader="none" w:pos="203"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Performance of the Tenant Improvements.</w:t>
      </w:r>
    </w:p>
    <w:p>
      <w:pPr>
        <w:spacing w:after="0" w:line="103" w:lineRule="exact"/>
        <w:rPr>
          <w:rFonts w:ascii="Arial" w:cs="Arial" w:eastAsia="Arial" w:hAnsi="Arial"/>
          <w:sz w:val="18"/>
          <w:szCs w:val="18"/>
          <w:color w:val="auto"/>
        </w:rPr>
      </w:pPr>
    </w:p>
    <w:p>
      <w:pPr>
        <w:ind w:left="503" w:right="20" w:firstLine="6"/>
        <w:spacing w:after="0" w:line="237" w:lineRule="auto"/>
        <w:tabs>
          <w:tab w:leader="none" w:pos="703"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Commencement and Permitting of the Tenant Improvements</w:t>
      </w:r>
      <w:r>
        <w:rPr>
          <w:rFonts w:ascii="Arial" w:cs="Arial" w:eastAsia="Arial" w:hAnsi="Arial"/>
          <w:sz w:val="18"/>
          <w:szCs w:val="18"/>
          <w:color w:val="auto"/>
        </w:rPr>
        <w:t>. Tenant shall commence construction of the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upon obtaining and delivering to Landlord a building permit (the “</w:t>
      </w:r>
      <w:r>
        <w:rPr>
          <w:rFonts w:ascii="Arial" w:cs="Arial" w:eastAsia="Arial" w:hAnsi="Arial"/>
          <w:sz w:val="18"/>
          <w:szCs w:val="18"/>
          <w:b w:val="1"/>
          <w:bCs w:val="1"/>
          <w:color w:val="auto"/>
        </w:rPr>
        <w:t>TI Permit</w:t>
      </w:r>
      <w:r>
        <w:rPr>
          <w:rFonts w:ascii="Arial" w:cs="Arial" w:eastAsia="Arial" w:hAnsi="Arial"/>
          <w:sz w:val="18"/>
          <w:szCs w:val="18"/>
          <w:color w:val="auto"/>
        </w:rPr>
        <w:t>”) authorizing the construction of the Tenant Improvements consistent with the TI Construction Drawings approved by Landlord. If permitted to do so by the City of South Francisco and so long as the same is not otherwise in violation of Legal Requirements, Tenant may commence work prior to obtaining the TI Permit provided that (i) Landlord shall in no event be held responsible for costs or delays in obtaining the TI Permit and/or any costs incurred by Tenant arising from or in connection with its decision to commence work prior to obtaining the TI Permit, and (ii) Tenant’s general contractor does not cover up or otherwise obscure installations that require inspection and approval from any Governmental Authority. The cost of obtaining the TI Permit shall be payable from the TI Fund. Landlord shall assist Tenant in obtaining the TI Permit. Prior to the commencement of the Tenant Improvements, Tenant shall deliver to Landlord a copy of any contract with Tenant’s contractors (including the TI Architect), and certificates of insurance from any contractor performing any part of the Tenant Improvement evidencing industry standard commercial general liability, automotive liability, “builder’s risk”, and workers’ compensation insurance. Tenant shall cause the General Contractor to provide a certificate of insurance naming Landlord, its officers, directors, employees, managers, agents, sub-agents, constituent entities, joint venture partners and lease signators, Alexandria Real Estate Equities, Inc., and Landlord’s lender (if any) as additional insureds for the General Contractor’s liability coverages required above.</w:t>
      </w:r>
    </w:p>
    <w:p>
      <w:pPr>
        <w:spacing w:after="0" w:line="79" w:lineRule="exact"/>
        <w:rPr>
          <w:rFonts w:ascii="Arial" w:cs="Arial" w:eastAsia="Arial" w:hAnsi="Arial"/>
          <w:sz w:val="18"/>
          <w:szCs w:val="18"/>
          <w:color w:val="auto"/>
        </w:rPr>
      </w:pPr>
    </w:p>
    <w:p>
      <w:pPr>
        <w:ind w:left="503" w:right="60" w:firstLine="6"/>
        <w:spacing w:after="0" w:line="247" w:lineRule="auto"/>
        <w:tabs>
          <w:tab w:leader="none" w:pos="703"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Selection of Materials, Etc</w:t>
      </w:r>
      <w:r>
        <w:rPr>
          <w:rFonts w:ascii="Arial" w:cs="Arial" w:eastAsia="Arial" w:hAnsi="Arial"/>
          <w:sz w:val="18"/>
          <w:szCs w:val="18"/>
          <w:color w:val="auto"/>
        </w:rPr>
        <w:t>. Where more than one type of material or structure is indicated on the TI Construction Drawings</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Tenant and Landlord, the option will be within Tenant’s reasonable discretion if the matter concerns the Tenant Improvements, and within Landlord’s sole and absolute subjective discretion if the matter concerns the structural components of the Building or any Building system.</w:t>
      </w:r>
    </w:p>
    <w:p>
      <w:pPr>
        <w:spacing w:after="0" w:line="65" w:lineRule="exact"/>
        <w:rPr>
          <w:rFonts w:ascii="Arial" w:cs="Arial" w:eastAsia="Arial" w:hAnsi="Arial"/>
          <w:sz w:val="18"/>
          <w:szCs w:val="18"/>
          <w:color w:val="auto"/>
        </w:rPr>
      </w:pPr>
    </w:p>
    <w:p>
      <w:pPr>
        <w:ind w:left="703" w:hanging="194"/>
        <w:spacing w:after="0"/>
        <w:tabs>
          <w:tab w:leader="none" w:pos="703"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Tenant Liability</w:t>
      </w:r>
      <w:r>
        <w:rPr>
          <w:rFonts w:ascii="Arial" w:cs="Arial" w:eastAsia="Arial" w:hAnsi="Arial"/>
          <w:sz w:val="18"/>
          <w:szCs w:val="18"/>
          <w:color w:val="auto"/>
        </w:rPr>
        <w:t>. Tenant shall be responsible for correcting any deficiencies or defects in the Tenant Improvements.</w:t>
      </w:r>
    </w:p>
    <w:p>
      <w:pPr>
        <w:spacing w:after="0" w:line="103" w:lineRule="exact"/>
        <w:rPr>
          <w:rFonts w:ascii="Arial" w:cs="Arial" w:eastAsia="Arial" w:hAnsi="Arial"/>
          <w:sz w:val="18"/>
          <w:szCs w:val="18"/>
          <w:color w:val="auto"/>
        </w:rPr>
      </w:pPr>
    </w:p>
    <w:p>
      <w:pPr>
        <w:ind w:left="503" w:firstLine="6"/>
        <w:spacing w:after="0" w:line="239" w:lineRule="auto"/>
        <w:tabs>
          <w:tab w:leader="none" w:pos="703"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Substantial Completion</w:t>
      </w:r>
      <w:r>
        <w:rPr>
          <w:rFonts w:ascii="Arial" w:cs="Arial" w:eastAsia="Arial" w:hAnsi="Arial"/>
          <w:sz w:val="18"/>
          <w:szCs w:val="18"/>
          <w:color w:val="auto"/>
        </w:rPr>
        <w:t>. Tenant shall substantially complete or cause to be substantially completed the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in a good and workmanlike manner, in accordance with the TI Permit subject, in each case, to Minor Variations and normal “punch list” items of a non-material nature which do not interfere with the use of the Premises (“</w:t>
      </w:r>
      <w:r>
        <w:rPr>
          <w:rFonts w:ascii="Arial" w:cs="Arial" w:eastAsia="Arial" w:hAnsi="Arial"/>
          <w:sz w:val="18"/>
          <w:szCs w:val="18"/>
          <w:b w:val="1"/>
          <w:bCs w:val="1"/>
          <w:color w:val="auto"/>
        </w:rPr>
        <w:t>Substantial</w:t>
      </w:r>
      <w:r>
        <w:rPr>
          <w:rFonts w:ascii="Arial" w:cs="Arial" w:eastAsia="Arial" w:hAnsi="Arial"/>
          <w:sz w:val="18"/>
          <w:szCs w:val="18"/>
          <w:color w:val="auto"/>
        </w:rPr>
        <w:t xml:space="preserve"> </w:t>
      </w:r>
      <w:r>
        <w:rPr>
          <w:rFonts w:ascii="Arial" w:cs="Arial" w:eastAsia="Arial" w:hAnsi="Arial"/>
          <w:sz w:val="18"/>
          <w:szCs w:val="18"/>
          <w:b w:val="1"/>
          <w:bCs w:val="1"/>
          <w:color w:val="auto"/>
        </w:rPr>
        <w:t>Completion</w:t>
      </w:r>
      <w:r>
        <w:rPr>
          <w:rFonts w:ascii="Arial" w:cs="Arial" w:eastAsia="Arial" w:hAnsi="Arial"/>
          <w:sz w:val="18"/>
          <w:szCs w:val="18"/>
          <w:color w:val="auto"/>
        </w:rPr>
        <w:t>” or “</w:t>
      </w:r>
      <w:r>
        <w:rPr>
          <w:rFonts w:ascii="Arial" w:cs="Arial" w:eastAsia="Arial" w:hAnsi="Arial"/>
          <w:sz w:val="18"/>
          <w:szCs w:val="18"/>
          <w:b w:val="1"/>
          <w:bCs w:val="1"/>
          <w:color w:val="auto"/>
        </w:rPr>
        <w:t>Substantially Complete</w:t>
      </w:r>
      <w:r>
        <w:rPr>
          <w:rFonts w:ascii="Arial" w:cs="Arial" w:eastAsia="Arial" w:hAnsi="Arial"/>
          <w:sz w:val="18"/>
          <w:szCs w:val="18"/>
          <w:color w:val="auto"/>
        </w:rPr>
        <w:t>”). Upon Substantial Completion of the Tenant Improvements, Tenant shall require the</w:t>
      </w:r>
      <w:r>
        <w:rPr>
          <w:rFonts w:ascii="Arial" w:cs="Arial" w:eastAsia="Arial" w:hAnsi="Arial"/>
          <w:sz w:val="18"/>
          <w:szCs w:val="18"/>
          <w:b w:val="1"/>
          <w:bCs w:val="1"/>
          <w:color w:val="auto"/>
        </w:rPr>
        <w:t xml:space="preserve"> </w:t>
      </w:r>
      <w:r>
        <w:rPr>
          <w:rFonts w:ascii="Arial" w:cs="Arial" w:eastAsia="Arial" w:hAnsi="Arial"/>
          <w:sz w:val="18"/>
          <w:szCs w:val="18"/>
          <w:color w:val="auto"/>
        </w:rPr>
        <w:t>TI Architect and the General Contractor to execute and deliver, for the benefit of Tenant and Landlord, a Certificate of Substantial Completion in the form of the American Institute of Architects (“</w:t>
      </w:r>
      <w:r>
        <w:rPr>
          <w:rFonts w:ascii="Arial" w:cs="Arial" w:eastAsia="Arial" w:hAnsi="Arial"/>
          <w:sz w:val="18"/>
          <w:szCs w:val="18"/>
          <w:b w:val="1"/>
          <w:bCs w:val="1"/>
          <w:color w:val="auto"/>
        </w:rPr>
        <w:t>AIA</w:t>
      </w:r>
      <w:r>
        <w:rPr>
          <w:rFonts w:ascii="Arial" w:cs="Arial" w:eastAsia="Arial" w:hAnsi="Arial"/>
          <w:sz w:val="18"/>
          <w:szCs w:val="18"/>
          <w:color w:val="auto"/>
        </w:rPr>
        <w:t>”) document G704. For purposes of this Work Letter, “</w:t>
      </w:r>
      <w:r>
        <w:rPr>
          <w:rFonts w:ascii="Arial" w:cs="Arial" w:eastAsia="Arial" w:hAnsi="Arial"/>
          <w:sz w:val="18"/>
          <w:szCs w:val="18"/>
          <w:b w:val="1"/>
          <w:bCs w:val="1"/>
          <w:color w:val="auto"/>
        </w:rPr>
        <w:t>Minor Variations</w:t>
      </w:r>
      <w:r>
        <w:rPr>
          <w:rFonts w:ascii="Arial" w:cs="Arial" w:eastAsia="Arial" w:hAnsi="Arial"/>
          <w:sz w:val="18"/>
          <w:szCs w:val="18"/>
          <w:color w:val="auto"/>
        </w:rPr>
        <w:t>” shall mean any modifications reasonably required: (i) to comply with all applicable Legal Requirements and/or to obtain or to comply with any required permit (including the TI Permit); (ii) to comport with good design, engineering, and construction practices which are not material; or (iii) to make reasonable adjustments for field deviations or conditions encountered during the construction of the Tenant Improvements.</w:t>
      </w:r>
    </w:p>
    <w:p>
      <w:pPr>
        <w:spacing w:after="0" w:line="71" w:lineRule="exact"/>
        <w:rPr>
          <w:rFonts w:ascii="Arial" w:cs="Arial" w:eastAsia="Arial" w:hAnsi="Arial"/>
          <w:sz w:val="18"/>
          <w:szCs w:val="18"/>
          <w:color w:val="auto"/>
        </w:rPr>
      </w:pPr>
    </w:p>
    <w:p>
      <w:pPr>
        <w:ind w:left="-517" w:right="100" w:firstLine="517"/>
        <w:spacing w:after="0" w:line="253" w:lineRule="auto"/>
        <w:tabs>
          <w:tab w:leader="none" w:pos="192"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Changes</w:t>
      </w:r>
      <w:r>
        <w:rPr>
          <w:rFonts w:ascii="Arial" w:cs="Arial" w:eastAsia="Arial" w:hAnsi="Arial"/>
          <w:sz w:val="18"/>
          <w:szCs w:val="18"/>
          <w:color w:val="auto"/>
        </w:rPr>
        <w:t>. Any changes requested by Tenant to the Tenant Improvements after the delivery and approval by Landlord of the Space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Plans, shall be requested and instituted in accordance with the provisions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and shall be subject to the written approval of Landlord, which approval shall not be unreasonably withheld, conditioned or delayed.</w:t>
      </w:r>
    </w:p>
    <w:p>
      <w:pPr>
        <w:spacing w:after="0" w:line="60" w:lineRule="exact"/>
        <w:rPr>
          <w:rFonts w:ascii="Arial" w:cs="Arial" w:eastAsia="Arial" w:hAnsi="Arial"/>
          <w:sz w:val="18"/>
          <w:szCs w:val="18"/>
          <w:color w:val="auto"/>
        </w:rPr>
      </w:pPr>
    </w:p>
    <w:p>
      <w:pPr>
        <w:jc w:val="both"/>
        <w:ind w:left="503" w:right="360" w:firstLine="6"/>
        <w:spacing w:after="0" w:line="253" w:lineRule="auto"/>
        <w:tabs>
          <w:tab w:leader="none" w:pos="703"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Tenant’s Right to Request Changes</w:t>
      </w:r>
      <w:r>
        <w:rPr>
          <w:rFonts w:ascii="Arial" w:cs="Arial" w:eastAsia="Arial" w:hAnsi="Arial"/>
          <w:sz w:val="18"/>
          <w:szCs w:val="18"/>
          <w:color w:val="auto"/>
        </w:rPr>
        <w:t>. If Tenant shall request changes to the Tenant Improvements (“</w:t>
      </w:r>
      <w:r>
        <w:rPr>
          <w:rFonts w:ascii="Arial" w:cs="Arial" w:eastAsia="Arial" w:hAnsi="Arial"/>
          <w:sz w:val="18"/>
          <w:szCs w:val="18"/>
          <w:b w:val="1"/>
          <w:bCs w:val="1"/>
          <w:color w:val="auto"/>
        </w:rPr>
        <w:t>Changes</w:t>
      </w:r>
      <w:r>
        <w:rPr>
          <w:rFonts w:ascii="Arial" w:cs="Arial" w:eastAsia="Arial" w:hAnsi="Arial"/>
          <w:sz w:val="18"/>
          <w:szCs w:val="18"/>
          <w:color w:val="auto"/>
        </w:rPr>
        <w:t>”), Tenant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request such Changes by notifying Landlord in writing in substantially the same form as the AIA standard change order form (a “</w:t>
      </w:r>
      <w:r>
        <w:rPr>
          <w:rFonts w:ascii="Arial" w:cs="Arial" w:eastAsia="Arial" w:hAnsi="Arial"/>
          <w:sz w:val="18"/>
          <w:szCs w:val="18"/>
          <w:b w:val="1"/>
          <w:bCs w:val="1"/>
          <w:color w:val="auto"/>
        </w:rPr>
        <w:t>Change Request</w:t>
      </w:r>
      <w:r>
        <w:rPr>
          <w:rFonts w:ascii="Arial" w:cs="Arial" w:eastAsia="Arial" w:hAnsi="Arial"/>
          <w:sz w:val="18"/>
          <w:szCs w:val="18"/>
          <w:color w:val="auto"/>
        </w:rPr>
        <w:t>”), which Change Request shall detail the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168910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49" w:right="339" w:bottom="1440" w:gutter="0" w:footer="0" w:header="0"/>
        </w:sectPr>
      </w:pPr>
    </w:p>
    <w:bookmarkStart w:id="190" w:name="page191"/>
    <w:bookmarkEnd w:id="190"/>
    <w:p>
      <w:pPr>
        <w:jc w:val="both"/>
        <w:ind w:left="503" w:right="60"/>
        <w:spacing w:after="0"/>
        <w:rPr>
          <w:sz w:val="20"/>
          <w:szCs w:val="20"/>
          <w:color w:val="auto"/>
        </w:rPr>
      </w:pPr>
      <w:r>
        <w:rPr>
          <w:rFonts w:ascii="Arial" w:cs="Arial" w:eastAsia="Arial" w:hAnsi="Arial"/>
          <w:sz w:val="18"/>
          <w:szCs w:val="18"/>
          <w:color w:val="auto"/>
        </w:rPr>
        <w:t>and extent of any such Change. Such Change Request must be signed by Tenant’s Representative. Landlord shall review and approve or disapprove such Change Request within 10 business days thereafter, provided that Landlord’s approval shall not be unreasonably withheld, conditioned or delayed.</w:t>
      </w:r>
    </w:p>
    <w:p>
      <w:pPr>
        <w:spacing w:after="0" w:line="73" w:lineRule="exact"/>
        <w:rPr>
          <w:sz w:val="20"/>
          <w:szCs w:val="20"/>
          <w:color w:val="auto"/>
        </w:rPr>
      </w:pPr>
    </w:p>
    <w:p>
      <w:pPr>
        <w:ind w:left="503" w:right="20"/>
        <w:spacing w:after="0" w:line="24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Implementation of Changes</w:t>
      </w:r>
      <w:r>
        <w:rPr>
          <w:rFonts w:ascii="Arial" w:cs="Arial" w:eastAsia="Arial" w:hAnsi="Arial"/>
          <w:sz w:val="18"/>
          <w:szCs w:val="18"/>
          <w:color w:val="auto"/>
        </w:rPr>
        <w:t xml:space="preserve">. If Landlord approves such Change and Tenant deposits with Landlord any Excess TI Costs (as defined in </w:t>
      </w:r>
      <w:r>
        <w:rPr>
          <w:rFonts w:ascii="Arial" w:cs="Arial" w:eastAsia="Arial" w:hAnsi="Arial"/>
          <w:sz w:val="18"/>
          <w:szCs w:val="18"/>
          <w:u w:val="single" w:color="auto"/>
          <w:color w:val="auto"/>
        </w:rPr>
        <w:t>Section 5(d)</w:t>
      </w:r>
      <w:r>
        <w:rPr>
          <w:rFonts w:ascii="Arial" w:cs="Arial" w:eastAsia="Arial" w:hAnsi="Arial"/>
          <w:sz w:val="18"/>
          <w:szCs w:val="18"/>
          <w:color w:val="auto"/>
        </w:rPr>
        <w:t xml:space="preserve"> below) required in connection with such Change, Tenant may cause the approved Change to be instituted. If any TI Permit modification or change is required as a result of such Change, Tenant shall promptly provide Landlord with a copy of such TI Permit modification or change.</w:t>
      </w:r>
    </w:p>
    <w:p>
      <w:pPr>
        <w:spacing w:after="0" w:line="66" w:lineRule="exact"/>
        <w:rPr>
          <w:sz w:val="20"/>
          <w:szCs w:val="20"/>
          <w:color w:val="auto"/>
        </w:rPr>
      </w:pPr>
    </w:p>
    <w:p>
      <w:pPr>
        <w:ind w:left="203" w:hanging="203"/>
        <w:spacing w:after="0"/>
        <w:tabs>
          <w:tab w:leader="none" w:pos="203"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Costs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503" w:right="20" w:firstLine="6"/>
        <w:spacing w:after="0" w:line="238" w:lineRule="auto"/>
        <w:tabs>
          <w:tab w:leader="none" w:pos="703"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Budget For Tenant Improvements</w:t>
      </w:r>
      <w:r>
        <w:rPr>
          <w:rFonts w:ascii="Arial" w:cs="Arial" w:eastAsia="Arial" w:hAnsi="Arial"/>
          <w:sz w:val="18"/>
          <w:szCs w:val="18"/>
          <w:color w:val="auto"/>
        </w:rPr>
        <w:t>. Before the commencement of construction of the Tenant Improvements, Tenant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obtain a detailed breakdown, by trade, of the costs incurred or that will be incurred, in connection with the design and construction of the Tenant Improvements (the “</w:t>
      </w:r>
      <w:r>
        <w:rPr>
          <w:rFonts w:ascii="Arial" w:cs="Arial" w:eastAsia="Arial" w:hAnsi="Arial"/>
          <w:sz w:val="18"/>
          <w:szCs w:val="18"/>
          <w:b w:val="1"/>
          <w:bCs w:val="1"/>
          <w:color w:val="auto"/>
        </w:rPr>
        <w:t>Budget</w:t>
      </w:r>
      <w:r>
        <w:rPr>
          <w:rFonts w:ascii="Arial" w:cs="Arial" w:eastAsia="Arial" w:hAnsi="Arial"/>
          <w:sz w:val="18"/>
          <w:szCs w:val="18"/>
          <w:color w:val="auto"/>
        </w:rPr>
        <w:t>”), and deliver a copy of the Budget to Landlord for Landlord’s approval, which shall not be unreasonably withheld or delayed. The Budget shall be based upon the TI Construction Drawings approved by Landlord. The Budget shall include a payment to Landlord of administrative rent (“</w:t>
      </w:r>
      <w:r>
        <w:rPr>
          <w:rFonts w:ascii="Arial" w:cs="Arial" w:eastAsia="Arial" w:hAnsi="Arial"/>
          <w:sz w:val="18"/>
          <w:szCs w:val="18"/>
          <w:b w:val="1"/>
          <w:bCs w:val="1"/>
          <w:color w:val="auto"/>
        </w:rPr>
        <w:t>Administrative Rent</w:t>
      </w:r>
      <w:r>
        <w:rPr>
          <w:rFonts w:ascii="Arial" w:cs="Arial" w:eastAsia="Arial" w:hAnsi="Arial"/>
          <w:sz w:val="18"/>
          <w:szCs w:val="18"/>
          <w:color w:val="auto"/>
        </w:rPr>
        <w:t xml:space="preserve">”) equal to 1% of the TI Costs (as hereinafter defined) for monitoring and inspecting the construction of the Tenant Improvements, which sum shall be payable from the TI Fund. Such Administrative Rent shall include, without limitation, all out-of-pocket costs, expenses and fees incurred by or on behalf of Landlord arising from, out of, or in connection with, such monitoring of the construction of the Tenant Improvements, and shall be payable out of the TI Fund. If the Budget is greater than the TI Allowance, Tenant shall deposit with Landlord the difference, in cash, prior to the commencement of construction of the Tenant Improvements, for disbursement by Landlord as described in </w:t>
      </w:r>
      <w:r>
        <w:rPr>
          <w:rFonts w:ascii="Arial" w:cs="Arial" w:eastAsia="Arial" w:hAnsi="Arial"/>
          <w:sz w:val="18"/>
          <w:szCs w:val="18"/>
          <w:u w:val="single" w:color="auto"/>
          <w:color w:val="auto"/>
        </w:rPr>
        <w:t>Section 5(d)</w:t>
      </w:r>
      <w:r>
        <w:rPr>
          <w:rFonts w:ascii="Arial" w:cs="Arial" w:eastAsia="Arial" w:hAnsi="Arial"/>
          <w:sz w:val="18"/>
          <w:szCs w:val="18"/>
          <w:color w:val="auto"/>
        </w:rPr>
        <w:t>.</w:t>
      </w:r>
    </w:p>
    <w:p>
      <w:pPr>
        <w:spacing w:after="0" w:line="77" w:lineRule="exact"/>
        <w:rPr>
          <w:rFonts w:ascii="Arial" w:cs="Arial" w:eastAsia="Arial" w:hAnsi="Arial"/>
          <w:sz w:val="18"/>
          <w:szCs w:val="18"/>
          <w:color w:val="auto"/>
        </w:rPr>
      </w:pPr>
    </w:p>
    <w:p>
      <w:pPr>
        <w:ind w:left="703" w:hanging="194"/>
        <w:spacing w:after="0"/>
        <w:tabs>
          <w:tab w:leader="none" w:pos="703"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TI Allowance</w:t>
      </w:r>
      <w:r>
        <w:rPr>
          <w:rFonts w:ascii="Arial" w:cs="Arial" w:eastAsia="Arial" w:hAnsi="Arial"/>
          <w:sz w:val="18"/>
          <w:szCs w:val="18"/>
          <w:color w:val="auto"/>
        </w:rPr>
        <w:t>. Landlord shall provide to Tenant a tenant improvement allowance (collectively, the “</w:t>
      </w:r>
      <w:r>
        <w:rPr>
          <w:rFonts w:ascii="Arial" w:cs="Arial" w:eastAsia="Arial" w:hAnsi="Arial"/>
          <w:sz w:val="18"/>
          <w:szCs w:val="18"/>
          <w:b w:val="1"/>
          <w:bCs w:val="1"/>
          <w:color w:val="auto"/>
        </w:rPr>
        <w:t>TI Allowance</w:t>
      </w:r>
      <w:r>
        <w:rPr>
          <w:rFonts w:ascii="Arial" w:cs="Arial" w:eastAsia="Arial" w:hAnsi="Arial"/>
          <w:sz w:val="18"/>
          <w:szCs w:val="18"/>
          <w:color w:val="auto"/>
        </w:rPr>
        <w:t>”) as follows:</w:t>
      </w:r>
    </w:p>
    <w:p>
      <w:pPr>
        <w:spacing w:after="0" w:line="198" w:lineRule="exact"/>
        <w:rPr>
          <w:rFonts w:ascii="Arial" w:cs="Arial" w:eastAsia="Arial" w:hAnsi="Arial"/>
          <w:sz w:val="18"/>
          <w:szCs w:val="18"/>
          <w:color w:val="auto"/>
        </w:rPr>
      </w:pPr>
    </w:p>
    <w:p>
      <w:pPr>
        <w:ind w:left="983" w:right="80" w:firstLine="5"/>
        <w:spacing w:after="0" w:line="247" w:lineRule="auto"/>
        <w:tabs>
          <w:tab w:leader="none" w:pos="1583" w:val="left"/>
        </w:tabs>
        <w:numPr>
          <w:ilvl w:val="2"/>
          <w:numId w:val="104"/>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Tenant Improvement Allowance</w:t>
      </w:r>
      <w:r>
        <w:rPr>
          <w:rFonts w:ascii="Arial" w:cs="Arial" w:eastAsia="Arial" w:hAnsi="Arial"/>
          <w:sz w:val="18"/>
          <w:szCs w:val="18"/>
          <w:color w:val="auto"/>
        </w:rPr>
        <w:t>” in the maximum amount of $85.00 per rentable square foot in the Premises, which is included in the Base Rent set forth in the Lease; and</w:t>
      </w:r>
    </w:p>
    <w:p>
      <w:pPr>
        <w:ind w:left="983" w:right="200" w:firstLine="5"/>
        <w:spacing w:after="0" w:line="246" w:lineRule="auto"/>
        <w:tabs>
          <w:tab w:leader="none" w:pos="1583" w:val="left"/>
        </w:tabs>
        <w:numPr>
          <w:ilvl w:val="2"/>
          <w:numId w:val="104"/>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Additional Tenant Improvement Allowance</w:t>
      </w:r>
      <w:r>
        <w:rPr>
          <w:rFonts w:ascii="Arial" w:cs="Arial" w:eastAsia="Arial" w:hAnsi="Arial"/>
          <w:sz w:val="18"/>
          <w:szCs w:val="18"/>
          <w:color w:val="auto"/>
        </w:rPr>
        <w:t xml:space="preserve">” in the maximum amount of $50.00 per rentable square foot in the Premises, which shall, to the extent used, result in TI Rent as set forth in </w:t>
      </w:r>
      <w:r>
        <w:rPr>
          <w:rFonts w:ascii="Arial" w:cs="Arial" w:eastAsia="Arial" w:hAnsi="Arial"/>
          <w:sz w:val="18"/>
          <w:szCs w:val="18"/>
          <w:u w:val="single" w:color="auto"/>
          <w:color w:val="auto"/>
        </w:rPr>
        <w:t>Section 4(b)</w:t>
      </w:r>
      <w:r>
        <w:rPr>
          <w:rFonts w:ascii="Arial" w:cs="Arial" w:eastAsia="Arial" w:hAnsi="Arial"/>
          <w:sz w:val="18"/>
          <w:szCs w:val="18"/>
          <w:color w:val="auto"/>
        </w:rPr>
        <w:t>of the Lease.</w:t>
      </w:r>
    </w:p>
    <w:p>
      <w:pPr>
        <w:spacing w:after="0" w:line="183" w:lineRule="exact"/>
        <w:rPr>
          <w:sz w:val="20"/>
          <w:szCs w:val="20"/>
          <w:color w:val="auto"/>
        </w:rPr>
      </w:pPr>
    </w:p>
    <w:p>
      <w:pPr>
        <w:ind w:left="983" w:right="200"/>
        <w:spacing w:after="0" w:line="238" w:lineRule="auto"/>
        <w:rPr>
          <w:sz w:val="20"/>
          <w:szCs w:val="20"/>
          <w:color w:val="auto"/>
        </w:rPr>
      </w:pPr>
      <w:r>
        <w:rPr>
          <w:rFonts w:ascii="Arial" w:cs="Arial" w:eastAsia="Arial" w:hAnsi="Arial"/>
          <w:sz w:val="18"/>
          <w:szCs w:val="18"/>
          <w:color w:val="auto"/>
        </w:rPr>
        <w:t>Prior to application of any portion of the Additional Tenant Improvement Allowance to TI Costs, Tenant shall notify Landlord how much Additional Tenant Improvement Allowance Tenant has elected to receive from Landlord. Such election shall be final and binding on Tenant, and may not thereafter be modified without Landlord’s consent, which may be granted or withheld in Landlord’s sole and absolute subjective discretion. The TI Allowance shall be disbursed in accordance with this Work Letter.</w:t>
      </w:r>
    </w:p>
    <w:p>
      <w:pPr>
        <w:spacing w:after="0" w:line="94" w:lineRule="exact"/>
        <w:rPr>
          <w:sz w:val="20"/>
          <w:szCs w:val="20"/>
          <w:color w:val="auto"/>
        </w:rPr>
      </w:pPr>
    </w:p>
    <w:p>
      <w:pPr>
        <w:ind w:left="503" w:right="200"/>
        <w:spacing w:after="0" w:line="238" w:lineRule="auto"/>
        <w:rPr>
          <w:sz w:val="20"/>
          <w:szCs w:val="20"/>
          <w:color w:val="auto"/>
        </w:rPr>
      </w:pPr>
      <w:r>
        <w:rPr>
          <w:rFonts w:ascii="Arial" w:cs="Arial" w:eastAsia="Arial" w:hAnsi="Arial"/>
          <w:sz w:val="18"/>
          <w:szCs w:val="18"/>
          <w:color w:val="auto"/>
        </w:rPr>
        <w:t xml:space="preserve">c. Tenant shall have no right to the use or benefit (including any reduction to Base Rent) of any portion of the TI Allowance not required for the construction of (i) the Tenant Improvements described in the TI Construction Drawings approved pursuant to </w:t>
      </w:r>
      <w:r>
        <w:rPr>
          <w:rFonts w:ascii="Arial" w:cs="Arial" w:eastAsia="Arial" w:hAnsi="Arial"/>
          <w:sz w:val="18"/>
          <w:szCs w:val="18"/>
          <w:u w:val="single" w:color="auto"/>
          <w:color w:val="auto"/>
        </w:rPr>
        <w:t>Section 2(d)</w:t>
      </w:r>
      <w:r>
        <w:rPr>
          <w:rFonts w:ascii="Arial" w:cs="Arial" w:eastAsia="Arial" w:hAnsi="Arial"/>
          <w:sz w:val="18"/>
          <w:szCs w:val="18"/>
          <w:color w:val="auto"/>
        </w:rPr>
        <w:t xml:space="preserve"> or (ii) any Changes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Tenant shall have no right to any portion of the TI Allowance that is not disbursed before the last day of the month that is 12 months after the Commencement Date.</w:t>
      </w:r>
    </w:p>
    <w:p>
      <w:pPr>
        <w:spacing w:after="0" w:line="75" w:lineRule="exact"/>
        <w:rPr>
          <w:sz w:val="20"/>
          <w:szCs w:val="20"/>
          <w:color w:val="auto"/>
        </w:rPr>
      </w:pPr>
    </w:p>
    <w:p>
      <w:pPr>
        <w:ind w:left="503"/>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color w:val="auto"/>
        </w:rPr>
        <w:t>Costs Includable in TI Fund</w:t>
      </w:r>
      <w:r>
        <w:rPr>
          <w:rFonts w:ascii="Arial" w:cs="Arial" w:eastAsia="Arial" w:hAnsi="Arial"/>
          <w:sz w:val="18"/>
          <w:szCs w:val="18"/>
          <w:color w:val="auto"/>
        </w:rPr>
        <w:t>. The TI Fund shall be used solely for the payment of design, permits and construction costs in connection with the construction of the Tenant Improvements, including, without limitation, the cost of electrical power and other utilities used in connection with the construction of the Tenant Improvements, the cost of preparing the Space Plans and the TI Construction Drawings, all costs set forth in the Budget, including Landlord’s Administrative Rent, and the cost of Changes (collectively, “</w:t>
      </w:r>
      <w:r>
        <w:rPr>
          <w:rFonts w:ascii="Arial" w:cs="Arial" w:eastAsia="Arial" w:hAnsi="Arial"/>
          <w:sz w:val="18"/>
          <w:szCs w:val="18"/>
          <w:b w:val="1"/>
          <w:bCs w:val="1"/>
          <w:color w:val="auto"/>
        </w:rPr>
        <w:t>TI Costs</w:t>
      </w:r>
      <w:r>
        <w:rPr>
          <w:rFonts w:ascii="Arial" w:cs="Arial" w:eastAsia="Arial" w:hAnsi="Arial"/>
          <w:sz w:val="18"/>
          <w:szCs w:val="18"/>
          <w:color w:val="auto"/>
        </w:rPr>
        <w:t>”). Notwithstanding anything to the contrary contained herein, the TI Fund shall not be used to purchase any furniture, personal property or other non-Building system materials or equipment, including, but not limited to, Tenant’s voice or data cabling, non-ducted biological safety cabinets and other scientific equipment not incorporated into the Tenant Improvements.</w:t>
      </w:r>
    </w:p>
    <w:p>
      <w:pPr>
        <w:spacing w:after="0" w:line="72" w:lineRule="exact"/>
        <w:rPr>
          <w:sz w:val="20"/>
          <w:szCs w:val="20"/>
          <w:color w:val="auto"/>
        </w:rPr>
      </w:pPr>
    </w:p>
    <w:p>
      <w:pPr>
        <w:ind w:left="503"/>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color w:val="auto"/>
        </w:rPr>
        <w:t>Excess TI Costs</w:t>
      </w:r>
      <w:r>
        <w:rPr>
          <w:rFonts w:ascii="Arial" w:cs="Arial" w:eastAsia="Arial" w:hAnsi="Arial"/>
          <w:sz w:val="18"/>
          <w:szCs w:val="18"/>
          <w:color w:val="auto"/>
        </w:rPr>
        <w:t>. Landlord shall have no obligation to bear any portion of the cost of any of the Tenant Improvements except to the extent of the TI Allowance. If at any time and from time-to-time, the remaining TI Costs under the Budget exceed the remaining unexpended TI Allowance, Tenant shall deposit with Landlord, as a condition precedent to Landlord’s obligation to fund the TI Allowance, 100% of the then current TI Cost in excess of the remaining TI Allowance (“</w:t>
      </w:r>
      <w:r>
        <w:rPr>
          <w:rFonts w:ascii="Arial" w:cs="Arial" w:eastAsia="Arial" w:hAnsi="Arial"/>
          <w:sz w:val="18"/>
          <w:szCs w:val="18"/>
          <w:b w:val="1"/>
          <w:bCs w:val="1"/>
          <w:color w:val="auto"/>
        </w:rPr>
        <w:t>Excess TI Costs</w:t>
      </w:r>
      <w:r>
        <w:rPr>
          <w:rFonts w:ascii="Arial" w:cs="Arial" w:eastAsia="Arial" w:hAnsi="Arial"/>
          <w:sz w:val="18"/>
          <w:szCs w:val="18"/>
          <w:color w:val="auto"/>
        </w:rPr>
        <w:t>”). If Tenant fails to deposit, or is late in depositing any Excess TI Costs with Landlord, Landlord shall have all of the rights and remedies set forth in the Lease for nonpayment of Rent (including, but not limited to, the right to interest at the Default Rate and the right to assess a late charge). For purposes of any litigation instituted with regard to such amounts, those amounts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179070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49" w:right="359" w:bottom="1440" w:gutter="0" w:footer="0" w:header="0"/>
        </w:sectPr>
      </w:pPr>
    </w:p>
    <w:bookmarkStart w:id="191" w:name="page192"/>
    <w:bookmarkEnd w:id="191"/>
    <w:p>
      <w:pPr>
        <w:ind w:left="503" w:right="20"/>
        <w:spacing w:after="0" w:line="242" w:lineRule="auto"/>
        <w:rPr>
          <w:sz w:val="20"/>
          <w:szCs w:val="20"/>
          <w:color w:val="auto"/>
        </w:rPr>
      </w:pPr>
      <w:r>
        <w:rPr>
          <w:rFonts w:ascii="Arial" w:cs="Arial" w:eastAsia="Arial" w:hAnsi="Arial"/>
          <w:sz w:val="18"/>
          <w:szCs w:val="18"/>
          <w:color w:val="auto"/>
        </w:rPr>
        <w:t>be deemed Rent under the Lease. The TI Allowance and Excess TI Costs is herein referred to as the “</w:t>
      </w:r>
      <w:r>
        <w:rPr>
          <w:rFonts w:ascii="Arial" w:cs="Arial" w:eastAsia="Arial" w:hAnsi="Arial"/>
          <w:sz w:val="18"/>
          <w:szCs w:val="18"/>
          <w:b w:val="1"/>
          <w:bCs w:val="1"/>
          <w:color w:val="auto"/>
        </w:rPr>
        <w:t>TI Fund</w:t>
      </w:r>
      <w:r>
        <w:rPr>
          <w:rFonts w:ascii="Arial" w:cs="Arial" w:eastAsia="Arial" w:hAnsi="Arial"/>
          <w:sz w:val="18"/>
          <w:szCs w:val="18"/>
          <w:color w:val="auto"/>
        </w:rPr>
        <w:t xml:space="preserve">.” Funds deposited by Tenant shall be the first thereafter disbursed to pay TI Costs. Notwithstanding anything to the contrary set forth in this </w:t>
      </w:r>
      <w:r>
        <w:rPr>
          <w:rFonts w:ascii="Arial" w:cs="Arial" w:eastAsia="Arial" w:hAnsi="Arial"/>
          <w:sz w:val="18"/>
          <w:szCs w:val="18"/>
          <w:u w:val="single" w:color="auto"/>
          <w:color w:val="auto"/>
        </w:rPr>
        <w:t>Section 5(d)</w:t>
      </w:r>
      <w:r>
        <w:rPr>
          <w:rFonts w:ascii="Arial" w:cs="Arial" w:eastAsia="Arial" w:hAnsi="Arial"/>
          <w:sz w:val="18"/>
          <w:szCs w:val="18"/>
          <w:color w:val="auto"/>
        </w:rPr>
        <w:t>, Tenant shall be fully and solely liable for TI Costs and the cost of Minor Variations in excess of the TI Allowance. If upon Substantial Completion of the Tenant Improvements and the payment of all sums due in connection therewith there remains any undisbursed portion of the TI Fund, Tenant shall be entitled to such undisbursed TI Fund solely to the extent of any Excess TI Costs deposit Tenant has actually made with Landlord.</w:t>
      </w:r>
    </w:p>
    <w:p>
      <w:pPr>
        <w:spacing w:after="0" w:line="71" w:lineRule="exact"/>
        <w:rPr>
          <w:sz w:val="20"/>
          <w:szCs w:val="20"/>
          <w:color w:val="auto"/>
        </w:rPr>
      </w:pPr>
    </w:p>
    <w:p>
      <w:pPr>
        <w:ind w:left="503" w:right="100"/>
        <w:spacing w:after="0" w:line="238"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color w:val="auto"/>
        </w:rPr>
        <w:t>Payment for TI Costs</w:t>
      </w:r>
      <w:r>
        <w:rPr>
          <w:rFonts w:ascii="Arial" w:cs="Arial" w:eastAsia="Arial" w:hAnsi="Arial"/>
          <w:sz w:val="18"/>
          <w:szCs w:val="18"/>
          <w:color w:val="auto"/>
        </w:rPr>
        <w:t>. During the course of design and construction of the Tenant Improvements, Landlord shall reimburse Tenant for TI Costs once a month against a draw request in Landlord's standard form, containing evidence of payment of such TI Costs by Tenant and such certifications, lien waivers (including a conditional lien release for each progress payment and unconditional lien releases for the prior month's progress payments), inspection reports and other matters as Landlord customarily obtains, to the extent of Landlord's approval thereof for payment, no later than 30 days following receipt of such draw request. Upon completion of the Tenant Improvements (and prior to any final disbursement of the TI Fund), Tenant shall deliver to Landlord: (i) sworn statements setting forth the names of all contractors and first tier subcontractors who did the work and final, unconditional lien waivers from all such contractors and first tier subcontractors; (ii) as-built plans (one copy in print format and two copies in electronic CAD format) for such Tenant Improvements; (iii) a certification of substantial completion in Form AIA G704, (iv) a certificate of occupancy for the Premises; and (v) copies of all operation and maintenance manuals and warranties affecting the Premises.</w:t>
      </w:r>
    </w:p>
    <w:p>
      <w:pPr>
        <w:spacing w:after="0" w:line="78" w:lineRule="exact"/>
        <w:rPr>
          <w:sz w:val="20"/>
          <w:szCs w:val="20"/>
          <w:color w:val="auto"/>
        </w:rPr>
      </w:pPr>
    </w:p>
    <w:p>
      <w:pPr>
        <w:ind w:left="503" w:right="40"/>
        <w:spacing w:after="0" w:line="229"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b w:val="1"/>
          <w:bCs w:val="1"/>
          <w:color w:val="auto"/>
        </w:rPr>
        <w:t>Tenant Improvement Progress Reports</w:t>
      </w:r>
      <w:r>
        <w:rPr>
          <w:rFonts w:ascii="Arial" w:cs="Arial" w:eastAsia="Arial" w:hAnsi="Arial"/>
          <w:sz w:val="18"/>
          <w:szCs w:val="18"/>
          <w:color w:val="auto"/>
        </w:rPr>
        <w:t>. On or before the 10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of each calendar month during the course of design and construction of the Tenant Improvements, Tenant shall deliver to Landlord a Tenant Improvement progress report in the form of </w:t>
      </w:r>
      <w:r>
        <w:rPr>
          <w:rFonts w:ascii="Arial" w:cs="Arial" w:eastAsia="Arial" w:hAnsi="Arial"/>
          <w:sz w:val="18"/>
          <w:szCs w:val="18"/>
          <w:b w:val="1"/>
          <w:bCs w:val="1"/>
          <w:color w:val="auto"/>
        </w:rPr>
        <w:t xml:space="preserve">Schedule 1 </w:t>
      </w:r>
      <w:r>
        <w:rPr>
          <w:rFonts w:ascii="Arial" w:cs="Arial" w:eastAsia="Arial" w:hAnsi="Arial"/>
          <w:sz w:val="18"/>
          <w:szCs w:val="18"/>
          <w:color w:val="auto"/>
        </w:rPr>
        <w:t>completed to provide all of the most up-to-date information regarding Tenant’s progress with respect the design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construction of the Tenant Improvements in addition to the corresponding AIA forms G702 and G703, if applicable, for all contracted costs. Concurrently with each process report, Tenant shall also deliver to Landlord a forecast in the form of </w:t>
      </w:r>
      <w:r>
        <w:rPr>
          <w:rFonts w:ascii="Arial" w:cs="Arial" w:eastAsia="Arial" w:hAnsi="Arial"/>
          <w:sz w:val="18"/>
          <w:szCs w:val="18"/>
          <w:b w:val="1"/>
          <w:bCs w:val="1"/>
          <w:color w:val="auto"/>
        </w:rPr>
        <w:t xml:space="preserve">Schedule 2 </w:t>
      </w:r>
      <w:r>
        <w:rPr>
          <w:rFonts w:ascii="Arial" w:cs="Arial" w:eastAsia="Arial" w:hAnsi="Arial"/>
          <w:sz w:val="18"/>
          <w:szCs w:val="18"/>
          <w:color w:val="auto"/>
        </w:rPr>
        <w:t>completed to provide the projected remaining TI Costs.</w:t>
      </w:r>
    </w:p>
    <w:p>
      <w:pPr>
        <w:spacing w:after="0" w:line="72" w:lineRule="exact"/>
        <w:rPr>
          <w:sz w:val="20"/>
          <w:szCs w:val="20"/>
          <w:color w:val="auto"/>
        </w:rPr>
      </w:pPr>
    </w:p>
    <w:p>
      <w:pPr>
        <w:ind w:left="203" w:hanging="203"/>
        <w:spacing w:after="0"/>
        <w:tabs>
          <w:tab w:leader="none" w:pos="203"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503" w:right="40" w:firstLine="6"/>
        <w:spacing w:after="0" w:line="271" w:lineRule="auto"/>
        <w:tabs>
          <w:tab w:leader="none" w:pos="703" w:val="left"/>
        </w:tabs>
        <w:numPr>
          <w:ilvl w:val="1"/>
          <w:numId w:val="105"/>
        </w:numPr>
        <w:rPr>
          <w:rFonts w:ascii="Arial" w:cs="Arial" w:eastAsia="Arial" w:hAnsi="Arial"/>
          <w:sz w:val="18"/>
          <w:szCs w:val="18"/>
          <w:color w:val="auto"/>
        </w:rPr>
      </w:pPr>
      <w:r>
        <w:rPr>
          <w:rFonts w:ascii="Arial" w:cs="Arial" w:eastAsia="Arial" w:hAnsi="Arial"/>
          <w:sz w:val="18"/>
          <w:szCs w:val="18"/>
          <w:b w:val="1"/>
          <w:bCs w:val="1"/>
          <w:color w:val="auto"/>
        </w:rPr>
        <w:t>Consents</w:t>
      </w:r>
      <w:r>
        <w:rPr>
          <w:rFonts w:ascii="Arial" w:cs="Arial" w:eastAsia="Arial" w:hAnsi="Arial"/>
          <w:sz w:val="18"/>
          <w:szCs w:val="18"/>
          <w:color w:val="auto"/>
        </w:rPr>
        <w:t>. Whenever consent or approval of either party is required under this Work Letter, that party shall not unreasonably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 condition or delay such consent or approval, unless expressly set forth herein to the contrary.</w:t>
      </w:r>
    </w:p>
    <w:p>
      <w:pPr>
        <w:spacing w:after="0" w:line="45" w:lineRule="exact"/>
        <w:rPr>
          <w:rFonts w:ascii="Arial" w:cs="Arial" w:eastAsia="Arial" w:hAnsi="Arial"/>
          <w:sz w:val="18"/>
          <w:szCs w:val="18"/>
          <w:color w:val="auto"/>
        </w:rPr>
      </w:pPr>
    </w:p>
    <w:p>
      <w:pPr>
        <w:ind w:left="503" w:right="440" w:firstLine="6"/>
        <w:spacing w:after="0" w:line="271" w:lineRule="auto"/>
        <w:tabs>
          <w:tab w:leader="none" w:pos="703" w:val="left"/>
        </w:tabs>
        <w:numPr>
          <w:ilvl w:val="1"/>
          <w:numId w:val="105"/>
        </w:numPr>
        <w:rPr>
          <w:rFonts w:ascii="Arial" w:cs="Arial" w:eastAsia="Arial" w:hAnsi="Arial"/>
          <w:sz w:val="18"/>
          <w:szCs w:val="18"/>
          <w:color w:val="auto"/>
        </w:rPr>
      </w:pPr>
      <w:r>
        <w:rPr>
          <w:rFonts w:ascii="Arial" w:cs="Arial" w:eastAsia="Arial" w:hAnsi="Arial"/>
          <w:sz w:val="18"/>
          <w:szCs w:val="18"/>
          <w:b w:val="1"/>
          <w:bCs w:val="1"/>
          <w:color w:val="auto"/>
        </w:rPr>
        <w:t>Modification</w:t>
      </w:r>
      <w:r>
        <w:rPr>
          <w:rFonts w:ascii="Arial" w:cs="Arial" w:eastAsia="Arial" w:hAnsi="Arial"/>
          <w:sz w:val="18"/>
          <w:szCs w:val="18"/>
          <w:color w:val="auto"/>
        </w:rPr>
        <w:t>. No modification, waiver or amendment of this Work Letter or of any of its conditions or provisions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upon Landlord or Tenant unless in writing signed by Landlord and Tenant.</w:t>
      </w:r>
    </w:p>
    <w:p>
      <w:pPr>
        <w:spacing w:after="0" w:line="45" w:lineRule="exact"/>
        <w:rPr>
          <w:rFonts w:ascii="Arial" w:cs="Arial" w:eastAsia="Arial" w:hAnsi="Arial"/>
          <w:sz w:val="18"/>
          <w:szCs w:val="18"/>
          <w:color w:val="auto"/>
        </w:rPr>
      </w:pPr>
    </w:p>
    <w:p>
      <w:pPr>
        <w:ind w:left="503" w:right="540" w:firstLine="6"/>
        <w:spacing w:after="0" w:line="271" w:lineRule="auto"/>
        <w:tabs>
          <w:tab w:leader="none" w:pos="693" w:val="left"/>
        </w:tabs>
        <w:numPr>
          <w:ilvl w:val="1"/>
          <w:numId w:val="105"/>
        </w:numPr>
        <w:rPr>
          <w:rFonts w:ascii="Arial" w:cs="Arial" w:eastAsia="Arial" w:hAnsi="Arial"/>
          <w:sz w:val="18"/>
          <w:szCs w:val="18"/>
          <w:color w:val="auto"/>
        </w:rPr>
      </w:pPr>
      <w:r>
        <w:rPr>
          <w:rFonts w:ascii="Arial" w:cs="Arial" w:eastAsia="Arial" w:hAnsi="Arial"/>
          <w:sz w:val="18"/>
          <w:szCs w:val="18"/>
          <w:b w:val="1"/>
          <w:bCs w:val="1"/>
          <w:color w:val="auto"/>
        </w:rPr>
        <w:t>No Default Funding</w:t>
      </w:r>
      <w:r>
        <w:rPr>
          <w:rFonts w:ascii="Arial" w:cs="Arial" w:eastAsia="Arial" w:hAnsi="Arial"/>
          <w:sz w:val="18"/>
          <w:szCs w:val="18"/>
          <w:color w:val="auto"/>
        </w:rPr>
        <w:t>. In no event shall Landlord have any obligation to fund any portion of the TI Allowance during any</w:t>
      </w:r>
      <w:r>
        <w:rPr>
          <w:rFonts w:ascii="Arial" w:cs="Arial" w:eastAsia="Arial" w:hAnsi="Arial"/>
          <w:sz w:val="18"/>
          <w:szCs w:val="18"/>
          <w:b w:val="1"/>
          <w:bCs w:val="1"/>
          <w:color w:val="auto"/>
        </w:rPr>
        <w:t xml:space="preserve"> </w:t>
      </w:r>
      <w:r>
        <w:rPr>
          <w:rFonts w:ascii="Arial" w:cs="Arial" w:eastAsia="Arial" w:hAnsi="Arial"/>
          <w:sz w:val="18"/>
          <w:szCs w:val="18"/>
          <w:color w:val="auto"/>
        </w:rPr>
        <w:t>period that Tenant is in Default under the Lease.</w:t>
      </w:r>
    </w:p>
    <w:p>
      <w:pPr>
        <w:spacing w:after="0" w:line="45" w:lineRule="exact"/>
        <w:rPr>
          <w:rFonts w:ascii="Arial" w:cs="Arial" w:eastAsia="Arial" w:hAnsi="Arial"/>
          <w:sz w:val="18"/>
          <w:szCs w:val="18"/>
          <w:color w:val="auto"/>
        </w:rPr>
      </w:pPr>
    </w:p>
    <w:p>
      <w:pPr>
        <w:ind w:left="-517" w:right="40" w:firstLine="517"/>
        <w:spacing w:after="0" w:line="244" w:lineRule="auto"/>
        <w:tabs>
          <w:tab w:leader="none" w:pos="192"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Infectious Conditions</w:t>
      </w:r>
      <w:r>
        <w:rPr>
          <w:rFonts w:ascii="Arial" w:cs="Arial" w:eastAsia="Arial" w:hAnsi="Arial"/>
          <w:sz w:val="18"/>
          <w:szCs w:val="18"/>
          <w:color w:val="auto"/>
        </w:rPr>
        <w:t>. Tenant shall require the General Contractor comply with the requirements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7(a)</w:t>
      </w:r>
      <w:r>
        <w:rPr>
          <w:rFonts w:ascii="Arial" w:cs="Arial" w:eastAsia="Arial" w:hAnsi="Arial"/>
          <w:sz w:val="18"/>
          <w:szCs w:val="18"/>
          <w:b w:val="1"/>
          <w:bCs w:val="1"/>
          <w:color w:val="auto"/>
        </w:rPr>
        <w:t xml:space="preserve"> </w:t>
      </w:r>
      <w:r>
        <w:rPr>
          <w:rFonts w:ascii="Arial" w:cs="Arial" w:eastAsia="Arial" w:hAnsi="Arial"/>
          <w:sz w:val="18"/>
          <w:szCs w:val="18"/>
          <w:color w:val="auto"/>
        </w:rPr>
        <w:t>through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7(c)</w:t>
      </w:r>
      <w:r>
        <w:rPr>
          <w:rFonts w:ascii="Arial" w:cs="Arial" w:eastAsia="Arial" w:hAnsi="Arial"/>
          <w:sz w:val="18"/>
          <w:szCs w:val="18"/>
          <w:color w:val="auto"/>
        </w:rPr>
        <w:t>below, as such requirements may be updated from time to time (and require General Contractor, in turn, to require the TI Architect and any consultants, contractors, subcontractors and all other service and materials providers entering the Project during the construction of the Tenant Improvements to perform services or provide materials in connection with the Tenant Improvements (each such party, a “</w:t>
      </w:r>
      <w:r>
        <w:rPr>
          <w:rFonts w:ascii="Arial" w:cs="Arial" w:eastAsia="Arial" w:hAnsi="Arial"/>
          <w:sz w:val="18"/>
          <w:szCs w:val="18"/>
          <w:b w:val="1"/>
          <w:bCs w:val="1"/>
          <w:color w:val="auto"/>
        </w:rPr>
        <w:t>Tenant</w:t>
      </w:r>
      <w:r>
        <w:rPr>
          <w:rFonts w:ascii="Arial" w:cs="Arial" w:eastAsia="Arial" w:hAnsi="Arial"/>
          <w:sz w:val="18"/>
          <w:szCs w:val="18"/>
          <w:color w:val="auto"/>
        </w:rPr>
        <w:t xml:space="preserve"> </w:t>
      </w:r>
      <w:r>
        <w:rPr>
          <w:rFonts w:ascii="Arial" w:cs="Arial" w:eastAsia="Arial" w:hAnsi="Arial"/>
          <w:sz w:val="18"/>
          <w:szCs w:val="18"/>
          <w:b w:val="1"/>
          <w:bCs w:val="1"/>
          <w:color w:val="auto"/>
        </w:rPr>
        <w:t>Improvement Contractor Party</w:t>
      </w:r>
      <w:r>
        <w:rPr>
          <w:rFonts w:ascii="Arial" w:cs="Arial" w:eastAsia="Arial" w:hAnsi="Arial"/>
          <w:sz w:val="18"/>
          <w:szCs w:val="18"/>
          <w:color w:val="auto"/>
        </w:rPr>
        <w:t>”) to comply with the same, as the same may be updated from time to time).</w:t>
      </w:r>
    </w:p>
    <w:p>
      <w:pPr>
        <w:spacing w:after="0" w:line="68" w:lineRule="exact"/>
        <w:rPr>
          <w:rFonts w:ascii="Arial" w:cs="Arial" w:eastAsia="Arial" w:hAnsi="Arial"/>
          <w:sz w:val="18"/>
          <w:szCs w:val="18"/>
          <w:color w:val="auto"/>
        </w:rPr>
      </w:pPr>
    </w:p>
    <w:p>
      <w:pPr>
        <w:jc w:val="both"/>
        <w:ind w:left="503" w:firstLine="6"/>
        <w:spacing w:after="0"/>
        <w:tabs>
          <w:tab w:leader="none" w:pos="703" w:val="left"/>
        </w:tabs>
        <w:numPr>
          <w:ilvl w:val="1"/>
          <w:numId w:val="105"/>
        </w:numPr>
        <w:rPr>
          <w:rFonts w:ascii="Arial" w:cs="Arial" w:eastAsia="Arial" w:hAnsi="Arial"/>
          <w:sz w:val="18"/>
          <w:szCs w:val="18"/>
          <w:color w:val="auto"/>
        </w:rPr>
      </w:pPr>
      <w:r>
        <w:rPr>
          <w:rFonts w:ascii="Arial" w:cs="Arial" w:eastAsia="Arial" w:hAnsi="Arial"/>
          <w:sz w:val="18"/>
          <w:szCs w:val="18"/>
          <w:b w:val="1"/>
          <w:bCs w:val="1"/>
          <w:color w:val="auto"/>
        </w:rPr>
        <w:t>Pre-Screening Measures</w:t>
      </w:r>
      <w:r>
        <w:rPr>
          <w:rFonts w:ascii="Arial" w:cs="Arial" w:eastAsia="Arial" w:hAnsi="Arial"/>
          <w:sz w:val="18"/>
          <w:szCs w:val="18"/>
          <w:color w:val="auto"/>
        </w:rPr>
        <w:t>. Prior to each entry onto the Project by General Contractor or any Tenant Improvement Contractor</w:t>
      </w:r>
      <w:r>
        <w:rPr>
          <w:rFonts w:ascii="Arial" w:cs="Arial" w:eastAsia="Arial" w:hAnsi="Arial"/>
          <w:sz w:val="18"/>
          <w:szCs w:val="18"/>
          <w:b w:val="1"/>
          <w:bCs w:val="1"/>
          <w:color w:val="auto"/>
        </w:rPr>
        <w:t xml:space="preserve"> </w:t>
      </w:r>
      <w:r>
        <w:rPr>
          <w:rFonts w:ascii="Arial" w:cs="Arial" w:eastAsia="Arial" w:hAnsi="Arial"/>
          <w:sz w:val="18"/>
          <w:szCs w:val="18"/>
          <w:color w:val="auto"/>
        </w:rPr>
        <w:t>Party, General Contractor shall pre-screen each employee of General Contractor and each employee of each Tenant Improvement Contractor Party for COVID-19 and any other Infectious Conditions that may arise during the construction of the Tenant Improvements, using all criteria recommended by the Centers for Disease Control and Prevention (“</w:t>
      </w:r>
      <w:r>
        <w:rPr>
          <w:rFonts w:ascii="Arial" w:cs="Arial" w:eastAsia="Arial" w:hAnsi="Arial"/>
          <w:sz w:val="18"/>
          <w:szCs w:val="18"/>
          <w:b w:val="1"/>
          <w:bCs w:val="1"/>
          <w:color w:val="auto"/>
        </w:rPr>
        <w:t>CDC</w:t>
      </w:r>
      <w:r>
        <w:rPr>
          <w:rFonts w:ascii="Arial" w:cs="Arial" w:eastAsia="Arial" w:hAnsi="Arial"/>
          <w:sz w:val="18"/>
          <w:szCs w:val="18"/>
          <w:color w:val="auto"/>
        </w:rPr>
        <w:t>”) and applicable Governmental Authorities. General Contractor shall not permit any employee of General Contractor or any Tenant Improvement Contractor Party who does not pass the pre-screening to enter into onto the Project until such time as allowed following all recommendations of the CDC and all applicable Governmental Authorities.</w:t>
      </w:r>
    </w:p>
    <w:p>
      <w:pPr>
        <w:spacing w:after="0" w:line="193" w:lineRule="exact"/>
        <w:rPr>
          <w:sz w:val="20"/>
          <w:szCs w:val="20"/>
          <w:color w:val="auto"/>
        </w:rPr>
      </w:pPr>
    </w:p>
    <w:p>
      <w:pPr>
        <w:jc w:val="both"/>
        <w:ind w:left="983"/>
        <w:spacing w:after="0" w:line="237" w:lineRule="auto"/>
        <w:rPr>
          <w:sz w:val="20"/>
          <w:szCs w:val="20"/>
          <w:color w:val="auto"/>
        </w:rPr>
      </w:pPr>
      <w:r>
        <w:rPr>
          <w:rFonts w:ascii="Arial" w:cs="Arial" w:eastAsia="Arial" w:hAnsi="Arial"/>
          <w:sz w:val="18"/>
          <w:szCs w:val="18"/>
          <w:color w:val="auto"/>
        </w:rPr>
        <w:t>In the event that General Contractor learns that, notwithstanding General Contractor’s pre-screening, an employee of General Contractor or an employee of a Tenant Improvement Contractor Party who did not meet the screening criteria entered the Project (or within the incubation period after such entry such employee has been diagnosed with/tested positive for or presented symptoms consistent with those of COVID-19 or any other applicable Infectious Condition), General Contractor shall immediately notify Landlord. General Contractor will inform General Contractor of the areas of the Project accessed by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177800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27" w:right="339" w:bottom="1440" w:gutter="0" w:footer="0" w:header="0"/>
        </w:sectPr>
      </w:pPr>
    </w:p>
    <w:bookmarkStart w:id="192" w:name="page193"/>
    <w:bookmarkEnd w:id="192"/>
    <w:p>
      <w:pPr>
        <w:jc w:val="both"/>
        <w:ind w:left="1500"/>
        <w:spacing w:after="0" w:line="246" w:lineRule="auto"/>
        <w:rPr>
          <w:sz w:val="20"/>
          <w:szCs w:val="20"/>
          <w:color w:val="auto"/>
        </w:rPr>
      </w:pPr>
      <w:r>
        <w:rPr>
          <w:rFonts w:ascii="Arial" w:cs="Arial" w:eastAsia="Arial" w:hAnsi="Arial"/>
          <w:sz w:val="18"/>
          <w:szCs w:val="18"/>
          <w:color w:val="auto"/>
        </w:rPr>
        <w:t>employee and approximate date/time of access, but General Contractor shall not provide Landlord with any personally identifying information or health information of any such employee.</w:t>
      </w:r>
    </w:p>
    <w:p>
      <w:pPr>
        <w:spacing w:after="0" w:line="183" w:lineRule="exact"/>
        <w:rPr>
          <w:sz w:val="20"/>
          <w:szCs w:val="20"/>
          <w:color w:val="auto"/>
        </w:rPr>
      </w:pPr>
    </w:p>
    <w:p>
      <w:pPr>
        <w:jc w:val="both"/>
        <w:ind w:left="1500"/>
        <w:spacing w:after="0" w:line="238" w:lineRule="auto"/>
        <w:rPr>
          <w:sz w:val="20"/>
          <w:szCs w:val="20"/>
          <w:color w:val="auto"/>
        </w:rPr>
      </w:pPr>
      <w:r>
        <w:rPr>
          <w:rFonts w:ascii="Arial" w:cs="Arial" w:eastAsia="Arial" w:hAnsi="Arial"/>
          <w:sz w:val="18"/>
          <w:szCs w:val="18"/>
          <w:color w:val="auto"/>
        </w:rPr>
        <w:t>By way of example, the pre-screening for COVID-19 shall include both a temperature check of each employee and having each employee actively confirm the information listed below. General Contractor shall not permit any of its employees or any employee of any Tenant Improvement Contractor Party to enter the Project unless, no earlier than the morning of such entry:</w:t>
      </w:r>
    </w:p>
    <w:p>
      <w:pPr>
        <w:spacing w:after="0" w:line="97" w:lineRule="exact"/>
        <w:rPr>
          <w:sz w:val="20"/>
          <w:szCs w:val="20"/>
          <w:color w:val="auto"/>
        </w:rPr>
      </w:pPr>
    </w:p>
    <w:p>
      <w:pPr>
        <w:ind w:left="1540"/>
        <w:spacing w:after="0" w:line="246" w:lineRule="auto"/>
        <w:rPr>
          <w:sz w:val="20"/>
          <w:szCs w:val="20"/>
          <w:color w:val="auto"/>
        </w:rPr>
      </w:pPr>
      <w:r>
        <w:rPr>
          <w:rFonts w:ascii="Arial" w:cs="Arial" w:eastAsia="Arial" w:hAnsi="Arial"/>
          <w:sz w:val="18"/>
          <w:szCs w:val="18"/>
          <w:color w:val="auto"/>
        </w:rPr>
        <w:t>i. The employee had a temperature of less than 100.4°F or any more stringent applicable temperature threshold used by state or local Governmental Authorities in the jurisdiction where the Project is located; and</w:t>
      </w:r>
    </w:p>
    <w:p>
      <w:pPr>
        <w:spacing w:after="0" w:line="89" w:lineRule="exact"/>
        <w:rPr>
          <w:sz w:val="20"/>
          <w:szCs w:val="20"/>
          <w:color w:val="auto"/>
        </w:rPr>
      </w:pPr>
    </w:p>
    <w:p>
      <w:pPr>
        <w:ind w:left="1720" w:hanging="185"/>
        <w:spacing w:after="0"/>
        <w:tabs>
          <w:tab w:leader="none" w:pos="1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employee answered “no” to each of the following questions:*</w:t>
      </w:r>
    </w:p>
    <w:p>
      <w:pPr>
        <w:spacing w:after="0" w:line="103" w:lineRule="exact"/>
        <w:rPr>
          <w:rFonts w:ascii="Arial" w:cs="Arial" w:eastAsia="Arial" w:hAnsi="Arial"/>
          <w:sz w:val="18"/>
          <w:szCs w:val="18"/>
          <w:color w:val="auto"/>
        </w:rPr>
      </w:pPr>
    </w:p>
    <w:p>
      <w:pPr>
        <w:jc w:val="both"/>
        <w:ind w:left="2040" w:firstLine="5"/>
        <w:spacing w:after="0" w:line="238" w:lineRule="auto"/>
        <w:tabs>
          <w:tab w:leader="none" w:pos="225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Have you experienced any of the following symptoms in the past 48 hours: fever or chills, cough, shortness of breath or difficulty breathing, fatigue, muscles or body aches, headache, new loss or taste or smell, sore throat, congestion or runny notice, nausea or vomiting or diarrhea? Note: General Contractor must review the CDC website regularly for updates to symptoms and ask this question based on then current CDC guidance regarding COVID-19 symptoms.</w:t>
      </w:r>
    </w:p>
    <w:p>
      <w:pPr>
        <w:spacing w:after="0" w:line="94" w:lineRule="exact"/>
        <w:rPr>
          <w:rFonts w:ascii="Arial" w:cs="Arial" w:eastAsia="Arial" w:hAnsi="Arial"/>
          <w:sz w:val="18"/>
          <w:szCs w:val="18"/>
          <w:color w:val="auto"/>
        </w:rPr>
      </w:pPr>
    </w:p>
    <w:p>
      <w:pPr>
        <w:jc w:val="both"/>
        <w:ind w:left="2040" w:firstLine="5"/>
        <w:spacing w:after="0"/>
        <w:tabs>
          <w:tab w:leader="none" w:pos="2247" w:val="left"/>
        </w:tabs>
        <w:numPr>
          <w:ilvl w:val="1"/>
          <w:numId w:val="106"/>
        </w:numPr>
        <w:rPr>
          <w:rFonts w:ascii="Arial" w:cs="Arial" w:eastAsia="Arial" w:hAnsi="Arial"/>
          <w:sz w:val="18"/>
          <w:szCs w:val="18"/>
          <w:color w:val="auto"/>
        </w:rPr>
      </w:pPr>
      <w:r>
        <w:rPr>
          <w:rFonts w:ascii="Arial" w:cs="Arial" w:eastAsia="Arial" w:hAnsi="Arial"/>
          <w:sz w:val="18"/>
          <w:szCs w:val="18"/>
          <w:color w:val="auto"/>
        </w:rPr>
        <w:t>Within the past 14 days, have you been in close physical contact (6 feet or closer for at least 15 minutes) with a person who is known to have laboratory-confirmed COVID-19 or with anyone who has any symptoms consistent with COVID-19?</w:t>
      </w:r>
    </w:p>
    <w:p>
      <w:pPr>
        <w:spacing w:after="0" w:line="94" w:lineRule="exact"/>
        <w:rPr>
          <w:rFonts w:ascii="Arial" w:cs="Arial" w:eastAsia="Arial" w:hAnsi="Arial"/>
          <w:sz w:val="18"/>
          <w:szCs w:val="18"/>
          <w:color w:val="auto"/>
        </w:rPr>
      </w:pPr>
    </w:p>
    <w:p>
      <w:pPr>
        <w:ind w:left="2040" w:firstLine="5"/>
        <w:spacing w:after="0" w:line="246" w:lineRule="auto"/>
        <w:tabs>
          <w:tab w:leader="none" w:pos="227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Are you isolating or quarantining because you may have been exposed to a person with COVID-19 or are worried that you may be sick with COVID-19?</w:t>
      </w:r>
    </w:p>
    <w:p>
      <w:pPr>
        <w:spacing w:after="0" w:line="88" w:lineRule="exact"/>
        <w:rPr>
          <w:rFonts w:ascii="Arial" w:cs="Arial" w:eastAsia="Arial" w:hAnsi="Arial"/>
          <w:sz w:val="18"/>
          <w:szCs w:val="18"/>
          <w:color w:val="auto"/>
        </w:rPr>
      </w:pPr>
    </w:p>
    <w:p>
      <w:pPr>
        <w:ind w:left="2240" w:hanging="195"/>
        <w:spacing w:after="0"/>
        <w:tabs>
          <w:tab w:leader="none" w:pos="22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Are you currently waiting on the results of a COVID-19 test?</w:t>
      </w:r>
    </w:p>
    <w:p>
      <w:pPr>
        <w:spacing w:after="0" w:line="19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*Note: It is General Contractor’s obligation to regularly consult with the CDC guidelines, as well as those of state and local Governmental Authorities, and update these questions to at all times to reflect current guidance as to when it is appropriate for employees of General Contractor or any Tenant Improvement Contractor Parties to enter the Project. The questions listed above are current as of November 2, 2020.</w:t>
      </w:r>
    </w:p>
    <w:p>
      <w:pPr>
        <w:spacing w:after="0" w:line="19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 xml:space="preserve">If an employee of General Contractor or any Tenant Improvement Contractor Party fits into any of the categories above, then General Contractor shall not permit such employee to enter Project unless or until such employee has met the criteria established by the CDC for being around others (ending home isolation) and returning to work (e.g.: </w:t>
      </w:r>
      <w:r>
        <w:rPr>
          <w:rFonts w:ascii="Arial" w:cs="Arial" w:eastAsia="Arial" w:hAnsi="Arial"/>
          <w:sz w:val="18"/>
          <w:szCs w:val="18"/>
          <w:color w:val="0000FF"/>
        </w:rPr>
        <w:t xml:space="preserve">https://www.cdc.gov/coronavirus/2019-ncov/hcp/disposition-in-home-patients.html </w:t>
      </w:r>
      <w:r>
        <w:rPr>
          <w:rFonts w:ascii="Arial" w:cs="Arial" w:eastAsia="Arial" w:hAnsi="Arial"/>
          <w:sz w:val="18"/>
          <w:szCs w:val="18"/>
          <w:color w:val="000000"/>
        </w:rPr>
        <w:t>and https://www.cdc.gov/coronavirus/2019-ncov/if-you-are-sick/end-home-isolation.html).</w:t>
      </w:r>
    </w:p>
    <w:p>
      <w:pPr>
        <w:spacing w:after="0" w:line="75" w:lineRule="exact"/>
        <w:rPr>
          <w:sz w:val="20"/>
          <w:szCs w:val="20"/>
          <w:color w:val="auto"/>
        </w:rPr>
      </w:pPr>
    </w:p>
    <w:p>
      <w:pPr>
        <w:jc w:val="both"/>
        <w:ind w:left="1020"/>
        <w:spacing w:after="0" w:line="25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General Contractor’s Compliance with Applicable Regulations and Guidelines</w:t>
      </w:r>
      <w:r>
        <w:rPr>
          <w:rFonts w:ascii="Arial" w:cs="Arial" w:eastAsia="Arial" w:hAnsi="Arial"/>
          <w:sz w:val="18"/>
          <w:szCs w:val="18"/>
          <w:color w:val="auto"/>
        </w:rPr>
        <w:t>. General Contractor shall comply with and implement (and cause all Tenant Improvement Contractor Parties to comply with and implement) the following procedures to mitigate the spread of Infectious Conditions, including COVID-19:</w:t>
      </w:r>
    </w:p>
    <w:p>
      <w:pPr>
        <w:spacing w:after="0" w:line="83" w:lineRule="exact"/>
        <w:rPr>
          <w:sz w:val="20"/>
          <w:szCs w:val="20"/>
          <w:color w:val="auto"/>
        </w:rPr>
      </w:pPr>
    </w:p>
    <w:p>
      <w:pPr>
        <w:ind w:left="1540"/>
        <w:spacing w:after="0" w:line="246" w:lineRule="auto"/>
        <w:rPr>
          <w:sz w:val="20"/>
          <w:szCs w:val="20"/>
          <w:color w:val="auto"/>
        </w:rPr>
      </w:pPr>
      <w:r>
        <w:rPr>
          <w:rFonts w:ascii="Arial" w:cs="Arial" w:eastAsia="Arial" w:hAnsi="Arial"/>
          <w:sz w:val="18"/>
          <w:szCs w:val="18"/>
          <w:color w:val="auto"/>
        </w:rPr>
        <w:t>i. Industry best practices related to the applicable Infectious Condition (and General Contractor shall continuously monitor industry best practices); and</w:t>
      </w:r>
    </w:p>
    <w:p>
      <w:pPr>
        <w:spacing w:after="0" w:line="89" w:lineRule="exact"/>
        <w:rPr>
          <w:sz w:val="20"/>
          <w:szCs w:val="20"/>
          <w:color w:val="auto"/>
        </w:rPr>
      </w:pPr>
    </w:p>
    <w:p>
      <w:pPr>
        <w:ind w:left="1540" w:hanging="5"/>
        <w:spacing w:after="0" w:line="246" w:lineRule="auto"/>
        <w:tabs>
          <w:tab w:leader="none" w:pos="175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guidance and requirements of any applicable state or local Governmental Authorities relating to the applicable Infectious Condition (and General Contractor shall continuously monitor such guidance and requirements); and</w:t>
      </w:r>
    </w:p>
    <w:p>
      <w:pPr>
        <w:spacing w:after="0" w:line="66" w:lineRule="exact"/>
        <w:rPr>
          <w:rFonts w:ascii="Arial" w:cs="Arial" w:eastAsia="Arial" w:hAnsi="Arial"/>
          <w:sz w:val="18"/>
          <w:szCs w:val="18"/>
          <w:color w:val="auto"/>
        </w:rPr>
      </w:pPr>
    </w:p>
    <w:p>
      <w:pPr>
        <w:ind w:left="1540" w:hanging="5"/>
        <w:spacing w:after="0" w:line="271" w:lineRule="auto"/>
        <w:tabs>
          <w:tab w:leader="none" w:pos="17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guidance and requirements of the Occupational Safety and Health Administration (“</w:t>
      </w:r>
      <w:r>
        <w:rPr>
          <w:rFonts w:ascii="Arial" w:cs="Arial" w:eastAsia="Arial" w:hAnsi="Arial"/>
          <w:sz w:val="18"/>
          <w:szCs w:val="18"/>
          <w:b w:val="1"/>
          <w:bCs w:val="1"/>
          <w:color w:val="auto"/>
        </w:rPr>
        <w:t>OSHA</w:t>
      </w:r>
      <w:r>
        <w:rPr>
          <w:rFonts w:ascii="Arial" w:cs="Arial" w:eastAsia="Arial" w:hAnsi="Arial"/>
          <w:sz w:val="18"/>
          <w:szCs w:val="18"/>
          <w:color w:val="auto"/>
        </w:rPr>
        <w:t>”) related to the applicable Infectious Condition (and General Contractor shall continually monitor the OSHA’s website for updates thereto); and</w:t>
      </w:r>
    </w:p>
    <w:p>
      <w:pPr>
        <w:spacing w:after="0" w:line="67" w:lineRule="exact"/>
        <w:rPr>
          <w:rFonts w:ascii="Arial" w:cs="Arial" w:eastAsia="Arial" w:hAnsi="Arial"/>
          <w:sz w:val="18"/>
          <w:szCs w:val="18"/>
          <w:color w:val="auto"/>
        </w:rPr>
      </w:pPr>
    </w:p>
    <w:p>
      <w:pPr>
        <w:ind w:left="1540" w:hanging="5"/>
        <w:spacing w:after="0" w:line="246" w:lineRule="auto"/>
        <w:tabs>
          <w:tab w:leader="none" w:pos="17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guidance issued by the CDC related to the applicable Infectious Condition (and General Contractor shall continually monitor CDC’s website for updates thereto); and</w:t>
      </w:r>
    </w:p>
    <w:p>
      <w:pPr>
        <w:spacing w:after="0" w:line="88" w:lineRule="exact"/>
        <w:rPr>
          <w:rFonts w:ascii="Arial" w:cs="Arial" w:eastAsia="Arial" w:hAnsi="Arial"/>
          <w:sz w:val="18"/>
          <w:szCs w:val="18"/>
          <w:color w:val="auto"/>
        </w:rPr>
      </w:pPr>
    </w:p>
    <w:p>
      <w:pPr>
        <w:jc w:val="both"/>
        <w:ind w:left="1540" w:hanging="5"/>
        <w:spacing w:after="0"/>
        <w:tabs>
          <w:tab w:leader="none" w:pos="174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reasonable policies or procedures adopted by Landlord with respect to the Project from time to time in order to protect the health and physical well-being of others at the Project or intended to limit the spread of Infectious Conditions of which Landlord has notified Tenant.</w:t>
      </w:r>
    </w:p>
    <w:p>
      <w:pPr>
        <w:spacing w:after="0" w:line="189"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Landlord shall not have any obligation notify Tenant, General Contractor, or any Tenant Improvement Contractor Party of the existence of any CDC guidance or any modifications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3" w:name="page194"/>
    <w:bookmarkEnd w:id="193"/>
    <w:p>
      <w:pPr>
        <w:jc w:val="both"/>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Face Coverings</w:t>
      </w:r>
      <w:r>
        <w:rPr>
          <w:rFonts w:ascii="Arial" w:cs="Arial" w:eastAsia="Arial" w:hAnsi="Arial"/>
          <w:sz w:val="18"/>
          <w:szCs w:val="18"/>
          <w:color w:val="auto"/>
        </w:rPr>
        <w:t xml:space="preserve">. Without limiting the generality of the foregoing obligations, unless notified otherwise in writing from Landlord, at all times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is applicable, General Contractor shall cause all employees of General Contractor and all employees of all Tenant Improvement Contractor Parties to wear face coverings at all times while at the Project, unless industry best practices, guidance or requirements of Governmental Authorities, guidance or requirements of OSHA, guidance issued by the CDC, or policies or procedures adopted by Landlord require more highly protective personal protective equipment (“</w:t>
      </w:r>
      <w:r>
        <w:rPr>
          <w:rFonts w:ascii="Arial" w:cs="Arial" w:eastAsia="Arial" w:hAnsi="Arial"/>
          <w:sz w:val="18"/>
          <w:szCs w:val="18"/>
          <w:b w:val="1"/>
          <w:bCs w:val="1"/>
          <w:color w:val="auto"/>
        </w:rPr>
        <w:t>PPE</w:t>
      </w:r>
      <w:r>
        <w:rPr>
          <w:rFonts w:ascii="Arial" w:cs="Arial" w:eastAsia="Arial" w:hAnsi="Arial"/>
          <w:sz w:val="18"/>
          <w:szCs w:val="18"/>
          <w:color w:val="auto"/>
        </w:rPr>
        <w:t>”), in which case General Contractor shall cause all of its employees and all employees of all Tenant Improvement Contractor Parties at the Building to wear such additional PPE.</w:t>
      </w:r>
    </w:p>
    <w:p>
      <w:pPr>
        <w:spacing w:after="0" w:line="7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color w:val="auto"/>
        </w:rPr>
        <w:t>Cleaning</w:t>
      </w:r>
      <w:r>
        <w:rPr>
          <w:rFonts w:ascii="Arial" w:cs="Arial" w:eastAsia="Arial" w:hAnsi="Arial"/>
          <w:sz w:val="18"/>
          <w:szCs w:val="18"/>
          <w:color w:val="auto"/>
        </w:rPr>
        <w:t>. If an employee of General Contractor or any Tenant Improvement Contractor Party (i) that has been diagnosed with/tested positive for an Infectious Condition, (ii) that, notwithstanding General Contractor’s pre-screening, showing symptoms of an Infectious Condition (who is subsequently diagnosed/tests positive for with an Infectious Condition), or (iii) notwithstanding General Contractor’s pre-screening, who has been in close physical contact with a person who is known to have laboratory-confirmed COVID-19 or with anyone who has any symptoms consistent with COVID-19 (who is subsequently diagnosed/tests positive for with an Infectious Condition)(an “</w:t>
      </w:r>
      <w:r>
        <w:rPr>
          <w:rFonts w:ascii="Arial" w:cs="Arial" w:eastAsia="Arial" w:hAnsi="Arial"/>
          <w:sz w:val="18"/>
          <w:szCs w:val="18"/>
          <w:b w:val="1"/>
          <w:bCs w:val="1"/>
          <w:color w:val="auto"/>
        </w:rPr>
        <w:t>Infected Party</w:t>
      </w:r>
      <w:r>
        <w:rPr>
          <w:rFonts w:ascii="Arial" w:cs="Arial" w:eastAsia="Arial" w:hAnsi="Arial"/>
          <w:sz w:val="18"/>
          <w:szCs w:val="18"/>
          <w:color w:val="auto"/>
        </w:rPr>
        <w:t>”) is determined to have gained access to the portions of the Project (each occurrence, a “</w:t>
      </w:r>
      <w:r>
        <w:rPr>
          <w:rFonts w:ascii="Arial" w:cs="Arial" w:eastAsia="Arial" w:hAnsi="Arial"/>
          <w:sz w:val="18"/>
          <w:szCs w:val="18"/>
          <w:b w:val="1"/>
          <w:bCs w:val="1"/>
          <w:color w:val="auto"/>
        </w:rPr>
        <w:t>Infectious Conditions Event</w:t>
      </w:r>
      <w:r>
        <w:rPr>
          <w:rFonts w:ascii="Arial" w:cs="Arial" w:eastAsia="Arial" w:hAnsi="Arial"/>
          <w:sz w:val="18"/>
          <w:szCs w:val="18"/>
          <w:color w:val="auto"/>
        </w:rPr>
        <w:t>”), then, Tenant shall be responsible, (x) at Tenant’s cost, for sanitizing the Premises, to the extent determined reasonably necessary by Tenant, and (y) for reimbursing Landlord for the reasonable costs of any additional cleaning required to sanitize those the portions of the Common Areas of the Project where the Infected Party is known or reasonably expected to have been during their entry into the Project as deemed reasonably necessary or prudent by Landlord in order to protect the health and physical well-being of others at the Project and/or to limit the spread of the applicable Infectious Condition. Any “cleaning” performed pursuant to this paragraph shall be performed in accordance with guidelines recommended by the CDC and/or other applicable Governmental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433070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1340" w:top="427" w:right="3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4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rPr>
              <w:t>Schedule 1</w:t>
            </w:r>
          </w:p>
        </w:tc>
      </w:tr>
      <w:tr>
        <w:trPr>
          <w:trHeight w:val="198"/>
        </w:trPr>
        <w:tc>
          <w:tcPr>
            <w:tcW w:w="1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20" w:type="dxa"/>
            <w:vAlign w:val="bottom"/>
            <w:tcBorders>
              <w:bottom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9"/>
              </w:rPr>
              <w:t>Tenant Improvement Progress Report</w:t>
            </w:r>
          </w:p>
        </w:tc>
        <w:tc>
          <w:tcPr>
            <w:tcW w:w="40" w:type="dxa"/>
            <w:vAlign w:val="bottom"/>
          </w:tcPr>
          <w:p>
            <w:pPr>
              <w:spacing w:after="0"/>
              <w:rPr>
                <w:sz w:val="17"/>
                <w:szCs w:val="17"/>
                <w:color w:val="auto"/>
              </w:rPr>
            </w:pPr>
          </w:p>
        </w:tc>
      </w:tr>
      <w:tr>
        <w:trPr>
          <w:trHeight w:val="209"/>
        </w:trPr>
        <w:tc>
          <w:tcPr>
            <w:tcW w:w="4640" w:type="dxa"/>
            <w:vAlign w:val="bottom"/>
            <w:gridSpan w:val="4"/>
          </w:tcPr>
          <w:p>
            <w:pPr>
              <w:spacing w:after="0"/>
              <w:rPr>
                <w:sz w:val="20"/>
                <w:szCs w:val="20"/>
                <w:color w:val="auto"/>
              </w:rPr>
            </w:pPr>
            <w:r>
              <w:rPr>
                <w:rFonts w:ascii="Arial" w:cs="Arial" w:eastAsia="Arial" w:hAnsi="Arial"/>
                <w:sz w:val="18"/>
                <w:szCs w:val="18"/>
                <w:color w:val="auto"/>
              </w:rPr>
              <w:t>Project Address: _____________________________</w:t>
            </w:r>
          </w:p>
        </w:tc>
        <w:tc>
          <w:tcPr>
            <w:tcW w:w="2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4640" w:type="dxa"/>
            <w:vAlign w:val="bottom"/>
            <w:gridSpan w:val="4"/>
          </w:tcPr>
          <w:p>
            <w:pPr>
              <w:spacing w:after="0" w:line="202" w:lineRule="exact"/>
              <w:rPr>
                <w:sz w:val="20"/>
                <w:szCs w:val="20"/>
                <w:color w:val="auto"/>
              </w:rPr>
            </w:pPr>
            <w:r>
              <w:rPr>
                <w:rFonts w:ascii="Arial" w:cs="Arial" w:eastAsia="Arial" w:hAnsi="Arial"/>
                <w:sz w:val="18"/>
                <w:szCs w:val="18"/>
                <w:color w:val="auto"/>
              </w:rPr>
              <w:t>Certification Period: ______________</w:t>
            </w:r>
          </w:p>
        </w:tc>
        <w:tc>
          <w:tcPr>
            <w:tcW w:w="26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640" w:type="dxa"/>
            <w:vAlign w:val="bottom"/>
            <w:gridSpan w:val="4"/>
          </w:tcPr>
          <w:p>
            <w:pPr>
              <w:spacing w:after="0" w:line="202" w:lineRule="exact"/>
              <w:rPr>
                <w:sz w:val="20"/>
                <w:szCs w:val="20"/>
                <w:color w:val="auto"/>
              </w:rPr>
            </w:pPr>
            <w:r>
              <w:rPr>
                <w:rFonts w:ascii="Arial" w:cs="Arial" w:eastAsia="Arial" w:hAnsi="Arial"/>
                <w:sz w:val="18"/>
                <w:szCs w:val="18"/>
                <w:color w:val="auto"/>
              </w:rPr>
              <w:t>1a. Original Project Budget, funded by Allowance</w:t>
            </w:r>
          </w:p>
        </w:tc>
        <w:tc>
          <w:tcPr>
            <w:tcW w:w="26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$__________________</w:t>
            </w:r>
          </w:p>
        </w:tc>
        <w:tc>
          <w:tcPr>
            <w:tcW w:w="40" w:type="dxa"/>
            <w:vAlign w:val="bottom"/>
          </w:tcPr>
          <w:p>
            <w:pPr>
              <w:spacing w:after="0"/>
              <w:rPr>
                <w:sz w:val="17"/>
                <w:szCs w:val="17"/>
                <w:color w:val="auto"/>
              </w:rPr>
            </w:pPr>
          </w:p>
        </w:tc>
      </w:tr>
      <w:tr>
        <w:trPr>
          <w:trHeight w:val="203"/>
        </w:trPr>
        <w:tc>
          <w:tcPr>
            <w:tcW w:w="4640" w:type="dxa"/>
            <w:vAlign w:val="bottom"/>
            <w:gridSpan w:val="4"/>
          </w:tcPr>
          <w:p>
            <w:pPr>
              <w:spacing w:after="0" w:line="202" w:lineRule="exact"/>
              <w:rPr>
                <w:sz w:val="20"/>
                <w:szCs w:val="20"/>
                <w:color w:val="auto"/>
              </w:rPr>
            </w:pPr>
            <w:r>
              <w:rPr>
                <w:rFonts w:ascii="Arial" w:cs="Arial" w:eastAsia="Arial" w:hAnsi="Arial"/>
                <w:sz w:val="18"/>
                <w:szCs w:val="18"/>
                <w:color w:val="auto"/>
              </w:rPr>
              <w:t>1a. Original Project Budget, funded by Tenant</w:t>
            </w:r>
          </w:p>
        </w:tc>
        <w:tc>
          <w:tcPr>
            <w:tcW w:w="26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$__________________</w:t>
            </w:r>
          </w:p>
        </w:tc>
        <w:tc>
          <w:tcPr>
            <w:tcW w:w="40" w:type="dxa"/>
            <w:vAlign w:val="bottom"/>
          </w:tcPr>
          <w:p>
            <w:pPr>
              <w:spacing w:after="0"/>
              <w:rPr>
                <w:sz w:val="17"/>
                <w:szCs w:val="17"/>
                <w:color w:val="auto"/>
              </w:rPr>
            </w:pPr>
          </w:p>
        </w:tc>
      </w:tr>
      <w:tr>
        <w:trPr>
          <w:trHeight w:val="203"/>
        </w:trPr>
        <w:tc>
          <w:tcPr>
            <w:tcW w:w="180" w:type="dxa"/>
            <w:vAlign w:val="bottom"/>
          </w:tcPr>
          <w:p>
            <w:pPr>
              <w:spacing w:after="0" w:line="202" w:lineRule="exact"/>
              <w:rPr>
                <w:sz w:val="20"/>
                <w:szCs w:val="20"/>
                <w:color w:val="auto"/>
              </w:rPr>
            </w:pPr>
            <w:r>
              <w:rPr>
                <w:rFonts w:ascii="Arial" w:cs="Arial" w:eastAsia="Arial" w:hAnsi="Arial"/>
                <w:sz w:val="18"/>
                <w:szCs w:val="18"/>
                <w:color w:val="auto"/>
              </w:rPr>
              <w:t>1.</w:t>
            </w:r>
          </w:p>
        </w:tc>
        <w:tc>
          <w:tcPr>
            <w:tcW w:w="2340" w:type="dxa"/>
            <w:vAlign w:val="bottom"/>
          </w:tcPr>
          <w:p>
            <w:pPr>
              <w:ind w:left="20"/>
              <w:spacing w:after="0" w:line="202" w:lineRule="exact"/>
              <w:rPr>
                <w:sz w:val="20"/>
                <w:szCs w:val="20"/>
                <w:color w:val="auto"/>
              </w:rPr>
            </w:pPr>
            <w:r>
              <w:rPr>
                <w:rFonts w:ascii="Arial" w:cs="Arial" w:eastAsia="Arial" w:hAnsi="Arial"/>
                <w:sz w:val="18"/>
                <w:szCs w:val="18"/>
                <w:color w:val="auto"/>
                <w:w w:val="99"/>
              </w:rPr>
              <w:t>Total Original Project Budget</w:t>
            </w:r>
          </w:p>
        </w:tc>
        <w:tc>
          <w:tcPr>
            <w:tcW w:w="21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(Line 1a + 1b)</w:t>
            </w:r>
          </w:p>
        </w:tc>
        <w:tc>
          <w:tcPr>
            <w:tcW w:w="26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$__________________</w:t>
            </w:r>
          </w:p>
        </w:tc>
        <w:tc>
          <w:tcPr>
            <w:tcW w:w="40" w:type="dxa"/>
            <w:vAlign w:val="bottom"/>
          </w:tcPr>
          <w:p>
            <w:pPr>
              <w:spacing w:after="0"/>
              <w:rPr>
                <w:sz w:val="17"/>
                <w:szCs w:val="17"/>
                <w:color w:val="auto"/>
              </w:rPr>
            </w:pPr>
          </w:p>
        </w:tc>
      </w:tr>
      <w:tr>
        <w:trPr>
          <w:trHeight w:val="203"/>
        </w:trPr>
        <w:tc>
          <w:tcPr>
            <w:tcW w:w="180" w:type="dxa"/>
            <w:vAlign w:val="bottom"/>
          </w:tcPr>
          <w:p>
            <w:pPr>
              <w:spacing w:after="0" w:line="202" w:lineRule="exact"/>
              <w:rPr>
                <w:sz w:val="20"/>
                <w:szCs w:val="20"/>
                <w:color w:val="auto"/>
              </w:rPr>
            </w:pPr>
            <w:r>
              <w:rPr>
                <w:rFonts w:ascii="Arial" w:cs="Arial" w:eastAsia="Arial" w:hAnsi="Arial"/>
                <w:sz w:val="18"/>
                <w:szCs w:val="18"/>
                <w:color w:val="auto"/>
              </w:rPr>
              <w:t>2.</w:t>
            </w:r>
          </w:p>
        </w:tc>
        <w:tc>
          <w:tcPr>
            <w:tcW w:w="44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Net change by Change Orders/Update to budget</w:t>
            </w:r>
          </w:p>
        </w:tc>
        <w:tc>
          <w:tcPr>
            <w:tcW w:w="2600" w:type="dxa"/>
            <w:vAlign w:val="bottom"/>
          </w:tcPr>
          <w:p>
            <w:pPr>
              <w:jc w:val="right"/>
              <w:spacing w:after="0" w:line="202" w:lineRule="exact"/>
              <w:rPr>
                <w:sz w:val="20"/>
                <w:szCs w:val="20"/>
                <w:color w:val="auto"/>
              </w:rPr>
            </w:pPr>
            <w:r>
              <w:rPr>
                <w:rFonts w:ascii="Arial" w:cs="Arial" w:eastAsia="Arial" w:hAnsi="Arial"/>
                <w:sz w:val="18"/>
                <w:szCs w:val="18"/>
                <w:color w:val="auto"/>
              </w:rPr>
              <w:t>$__________________</w:t>
            </w:r>
          </w:p>
        </w:tc>
        <w:tc>
          <w:tcPr>
            <w:tcW w:w="40" w:type="dxa"/>
            <w:vAlign w:val="bottom"/>
          </w:tcPr>
          <w:p>
            <w:pPr>
              <w:spacing w:after="0"/>
              <w:rPr>
                <w:sz w:val="17"/>
                <w:szCs w:val="17"/>
                <w:color w:val="auto"/>
              </w:rPr>
            </w:pPr>
          </w:p>
        </w:tc>
      </w:tr>
      <w:tr>
        <w:trPr>
          <w:trHeight w:val="203"/>
        </w:trPr>
        <w:tc>
          <w:tcPr>
            <w:tcW w:w="180" w:type="dxa"/>
            <w:vAlign w:val="bottom"/>
          </w:tcPr>
          <w:p>
            <w:pPr>
              <w:spacing w:after="0" w:line="202" w:lineRule="exact"/>
              <w:rPr>
                <w:sz w:val="20"/>
                <w:szCs w:val="20"/>
                <w:color w:val="auto"/>
              </w:rPr>
            </w:pPr>
            <w:r>
              <w:rPr>
                <w:rFonts w:ascii="Arial" w:cs="Arial" w:eastAsia="Arial" w:hAnsi="Arial"/>
                <w:sz w:val="18"/>
                <w:szCs w:val="18"/>
                <w:color w:val="auto"/>
              </w:rPr>
              <w:t>3.</w:t>
            </w:r>
          </w:p>
        </w:tc>
        <w:tc>
          <w:tcPr>
            <w:tcW w:w="44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Current budget to date (Line 1 + 2)</w:t>
            </w:r>
          </w:p>
        </w:tc>
        <w:tc>
          <w:tcPr>
            <w:tcW w:w="26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$__________________</w:t>
            </w:r>
          </w:p>
        </w:tc>
        <w:tc>
          <w:tcPr>
            <w:tcW w:w="40" w:type="dxa"/>
            <w:vAlign w:val="bottom"/>
          </w:tcPr>
          <w:p>
            <w:pPr>
              <w:spacing w:after="0"/>
              <w:rPr>
                <w:sz w:val="17"/>
                <w:szCs w:val="17"/>
                <w:color w:val="auto"/>
              </w:rPr>
            </w:pPr>
          </w:p>
        </w:tc>
      </w:tr>
      <w:tr>
        <w:trPr>
          <w:trHeight w:val="202"/>
        </w:trPr>
        <w:tc>
          <w:tcPr>
            <w:tcW w:w="180" w:type="dxa"/>
            <w:vAlign w:val="bottom"/>
          </w:tcPr>
          <w:p>
            <w:pPr>
              <w:spacing w:after="0" w:line="202" w:lineRule="exact"/>
              <w:rPr>
                <w:sz w:val="20"/>
                <w:szCs w:val="20"/>
                <w:color w:val="auto"/>
              </w:rPr>
            </w:pPr>
            <w:r>
              <w:rPr>
                <w:rFonts w:ascii="Arial" w:cs="Arial" w:eastAsia="Arial" w:hAnsi="Arial"/>
                <w:sz w:val="18"/>
                <w:szCs w:val="18"/>
                <w:color w:val="auto"/>
              </w:rPr>
              <w:t>4.</w:t>
            </w:r>
          </w:p>
        </w:tc>
        <w:tc>
          <w:tcPr>
            <w:tcW w:w="44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Total soft costs incurred to date, if any</w:t>
            </w:r>
          </w:p>
        </w:tc>
        <w:tc>
          <w:tcPr>
            <w:tcW w:w="26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$__________________</w:t>
            </w:r>
          </w:p>
        </w:tc>
        <w:tc>
          <w:tcPr>
            <w:tcW w:w="40" w:type="dxa"/>
            <w:vAlign w:val="bottom"/>
          </w:tcPr>
          <w:p>
            <w:pPr>
              <w:spacing w:after="0"/>
              <w:rPr>
                <w:sz w:val="17"/>
                <w:szCs w:val="17"/>
                <w:color w:val="auto"/>
              </w:rPr>
            </w:pPr>
          </w:p>
        </w:tc>
      </w:tr>
      <w:tr>
        <w:trPr>
          <w:trHeight w:val="203"/>
        </w:trPr>
        <w:tc>
          <w:tcPr>
            <w:tcW w:w="180" w:type="dxa"/>
            <w:vAlign w:val="bottom"/>
          </w:tcPr>
          <w:p>
            <w:pPr>
              <w:spacing w:after="0" w:line="203" w:lineRule="exact"/>
              <w:rPr>
                <w:sz w:val="20"/>
                <w:szCs w:val="20"/>
                <w:color w:val="auto"/>
              </w:rPr>
            </w:pPr>
            <w:r>
              <w:rPr>
                <w:rFonts w:ascii="Arial" w:cs="Arial" w:eastAsia="Arial" w:hAnsi="Arial"/>
                <w:sz w:val="18"/>
                <w:szCs w:val="18"/>
                <w:color w:val="auto"/>
              </w:rPr>
              <w:t>5.</w:t>
            </w:r>
          </w:p>
        </w:tc>
        <w:tc>
          <w:tcPr>
            <w:tcW w:w="4460" w:type="dxa"/>
            <w:vAlign w:val="bottom"/>
            <w:gridSpan w:val="3"/>
          </w:tcPr>
          <w:p>
            <w:pPr>
              <w:ind w:left="20"/>
              <w:spacing w:after="0" w:line="202" w:lineRule="exact"/>
              <w:rPr>
                <w:sz w:val="20"/>
                <w:szCs w:val="20"/>
                <w:color w:val="auto"/>
              </w:rPr>
            </w:pPr>
            <w:r>
              <w:rPr>
                <w:rFonts w:ascii="Arial" w:cs="Arial" w:eastAsia="Arial" w:hAnsi="Arial"/>
                <w:sz w:val="17"/>
                <w:szCs w:val="17"/>
                <w:color w:val="auto"/>
              </w:rPr>
              <w:t xml:space="preserve">Total contracted costs incurred to date </w:t>
            </w:r>
            <w:r>
              <w:rPr>
                <w:rFonts w:ascii="Arial" w:cs="Arial" w:eastAsia="Arial" w:hAnsi="Arial"/>
                <w:sz w:val="23"/>
                <w:szCs w:val="23"/>
                <w:color w:val="auto"/>
                <w:vertAlign w:val="superscript"/>
              </w:rPr>
              <w:t>(a)</w:t>
            </w:r>
          </w:p>
        </w:tc>
        <w:tc>
          <w:tcPr>
            <w:tcW w:w="260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$__________________</w:t>
            </w:r>
          </w:p>
        </w:tc>
        <w:tc>
          <w:tcPr>
            <w:tcW w:w="40" w:type="dxa"/>
            <w:vAlign w:val="bottom"/>
          </w:tcPr>
          <w:p>
            <w:pPr>
              <w:spacing w:after="0"/>
              <w:rPr>
                <w:sz w:val="17"/>
                <w:szCs w:val="17"/>
                <w:color w:val="auto"/>
              </w:rPr>
            </w:pPr>
          </w:p>
        </w:tc>
      </w:tr>
      <w:tr>
        <w:trPr>
          <w:trHeight w:val="181"/>
        </w:trPr>
        <w:tc>
          <w:tcPr>
            <w:tcW w:w="180" w:type="dxa"/>
            <w:vAlign w:val="bottom"/>
          </w:tcPr>
          <w:p>
            <w:pPr>
              <w:spacing w:after="0" w:line="181" w:lineRule="exact"/>
              <w:rPr>
                <w:sz w:val="20"/>
                <w:szCs w:val="20"/>
                <w:color w:val="auto"/>
              </w:rPr>
            </w:pPr>
            <w:r>
              <w:rPr>
                <w:rFonts w:ascii="Arial" w:cs="Arial" w:eastAsia="Arial" w:hAnsi="Arial"/>
                <w:sz w:val="18"/>
                <w:szCs w:val="18"/>
                <w:color w:val="auto"/>
              </w:rPr>
              <w:t>6.</w:t>
            </w:r>
          </w:p>
        </w:tc>
        <w:tc>
          <w:tcPr>
            <w:tcW w:w="2340" w:type="dxa"/>
            <w:vAlign w:val="bottom"/>
          </w:tcPr>
          <w:p>
            <w:pPr>
              <w:ind w:left="20"/>
              <w:spacing w:after="0" w:line="181" w:lineRule="exact"/>
              <w:rPr>
                <w:sz w:val="20"/>
                <w:szCs w:val="20"/>
                <w:color w:val="auto"/>
              </w:rPr>
            </w:pPr>
            <w:r>
              <w:rPr>
                <w:rFonts w:ascii="Arial" w:cs="Arial" w:eastAsia="Arial" w:hAnsi="Arial"/>
                <w:sz w:val="18"/>
                <w:szCs w:val="18"/>
                <w:color w:val="auto"/>
              </w:rPr>
              <w:t>Total costs incurred to date</w:t>
            </w:r>
          </w:p>
        </w:tc>
        <w:tc>
          <w:tcPr>
            <w:tcW w:w="2120" w:type="dxa"/>
            <w:vAlign w:val="bottom"/>
            <w:gridSpan w:val="2"/>
          </w:tcPr>
          <w:p>
            <w:pPr>
              <w:ind w:left="40"/>
              <w:spacing w:after="0" w:line="181" w:lineRule="exact"/>
              <w:rPr>
                <w:sz w:val="20"/>
                <w:szCs w:val="20"/>
                <w:color w:val="auto"/>
              </w:rPr>
            </w:pPr>
            <w:r>
              <w:rPr>
                <w:rFonts w:ascii="Arial" w:cs="Arial" w:eastAsia="Arial" w:hAnsi="Arial"/>
                <w:sz w:val="18"/>
                <w:szCs w:val="18"/>
                <w:color w:val="auto"/>
              </w:rPr>
              <w:t>(Lines 4 + 5)</w:t>
            </w:r>
          </w:p>
        </w:tc>
        <w:tc>
          <w:tcPr>
            <w:tcW w:w="2600" w:type="dxa"/>
            <w:vAlign w:val="bottom"/>
          </w:tcPr>
          <w:p>
            <w:pPr>
              <w:jc w:val="right"/>
              <w:ind w:right="230"/>
              <w:spacing w:after="0" w:line="181" w:lineRule="exact"/>
              <w:rPr>
                <w:sz w:val="20"/>
                <w:szCs w:val="20"/>
                <w:color w:val="auto"/>
              </w:rPr>
            </w:pPr>
            <w:r>
              <w:rPr>
                <w:rFonts w:ascii="Arial" w:cs="Arial" w:eastAsia="Arial" w:hAnsi="Arial"/>
                <w:sz w:val="18"/>
                <w:szCs w:val="18"/>
                <w:color w:val="auto"/>
              </w:rPr>
              <w:t>$__________________</w:t>
            </w:r>
          </w:p>
        </w:tc>
        <w:tc>
          <w:tcPr>
            <w:tcW w:w="40" w:type="dxa"/>
            <w:vAlign w:val="bottom"/>
          </w:tcPr>
          <w:p>
            <w:pPr>
              <w:spacing w:after="0"/>
              <w:rPr>
                <w:sz w:val="15"/>
                <w:szCs w:val="15"/>
                <w:color w:val="auto"/>
              </w:rPr>
            </w:pPr>
          </w:p>
        </w:tc>
      </w:tr>
      <w:tr>
        <w:trPr>
          <w:trHeight w:val="239"/>
        </w:trPr>
        <w:tc>
          <w:tcPr>
            <w:tcW w:w="180" w:type="dxa"/>
            <w:vAlign w:val="bottom"/>
          </w:tcPr>
          <w:p>
            <w:pPr>
              <w:spacing w:after="0"/>
              <w:rPr>
                <w:sz w:val="20"/>
                <w:szCs w:val="20"/>
                <w:color w:val="auto"/>
              </w:rPr>
            </w:pPr>
            <w:r>
              <w:rPr>
                <w:rFonts w:ascii="Arial" w:cs="Arial" w:eastAsia="Arial" w:hAnsi="Arial"/>
                <w:sz w:val="18"/>
                <w:szCs w:val="18"/>
                <w:color w:val="auto"/>
              </w:rPr>
              <w:t>7.</w:t>
            </w:r>
          </w:p>
        </w:tc>
        <w:tc>
          <w:tcPr>
            <w:tcW w:w="4460" w:type="dxa"/>
            <w:vAlign w:val="bottom"/>
            <w:gridSpan w:val="3"/>
          </w:tcPr>
          <w:p>
            <w:pPr>
              <w:ind w:left="20"/>
              <w:spacing w:after="0"/>
              <w:rPr>
                <w:sz w:val="20"/>
                <w:szCs w:val="20"/>
                <w:color w:val="auto"/>
              </w:rPr>
            </w:pPr>
            <w:r>
              <w:rPr>
                <w:rFonts w:ascii="Arial" w:cs="Arial" w:eastAsia="Arial" w:hAnsi="Arial"/>
                <w:sz w:val="18"/>
                <w:szCs w:val="18"/>
                <w:color w:val="auto"/>
              </w:rPr>
              <w:t>Remaining balance to budget (Line 3 less Line 6)</w:t>
            </w:r>
          </w:p>
        </w:tc>
        <w:tc>
          <w:tcPr>
            <w:tcW w:w="2640" w:type="dxa"/>
            <w:vAlign w:val="bottom"/>
            <w:gridSpan w:val="2"/>
          </w:tcPr>
          <w:p>
            <w:pPr>
              <w:jc w:val="right"/>
              <w:spacing w:after="0"/>
              <w:rPr>
                <w:sz w:val="20"/>
                <w:szCs w:val="20"/>
                <w:color w:val="auto"/>
              </w:rPr>
            </w:pPr>
            <w:r>
              <w:rPr>
                <w:rFonts w:ascii="Arial" w:cs="Arial" w:eastAsia="Arial" w:hAnsi="Arial"/>
                <w:sz w:val="18"/>
                <w:szCs w:val="18"/>
                <w:b w:val="1"/>
                <w:bCs w:val="1"/>
                <w:color w:val="auto"/>
              </w:rPr>
              <w:t>$__________________</w:t>
            </w:r>
          </w:p>
        </w:tc>
      </w:tr>
    </w:tbl>
    <w:p>
      <w:pPr>
        <w:spacing w:after="0" w:line="18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Amounts above shall exclude furniture, equipment, and other moveable personal property. Please attach corresponding AIA Forms G702 and G703 for contracted costs incurred, including costs incurred, but not paid.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Certification signature: 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720" w:right="639" w:bottom="1440" w:gutter="0" w:footer="0" w:header="0"/>
        </w:sectPr>
      </w:pPr>
    </w:p>
    <w:bookmarkStart w:id="195" w:name="page196"/>
    <w:bookmarkEnd w:id="195"/>
    <w:p>
      <w:pPr>
        <w:jc w:val="center"/>
        <w:ind w:right="19"/>
        <w:spacing w:after="0"/>
        <w:rPr>
          <w:sz w:val="20"/>
          <w:szCs w:val="20"/>
          <w:color w:val="auto"/>
        </w:rPr>
      </w:pPr>
      <w:r>
        <w:rPr>
          <w:rFonts w:ascii="Arial" w:cs="Arial" w:eastAsia="Arial" w:hAnsi="Arial"/>
          <w:sz w:val="18"/>
          <w:szCs w:val="18"/>
          <w:b w:val="1"/>
          <w:bCs w:val="1"/>
          <w:color w:val="auto"/>
        </w:rPr>
        <w:t>Schedule 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TI Cost Forecast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2603500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19050</wp:posOffset>
            </wp:positionV>
            <wp:extent cx="5349240" cy="16027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9">
                      <a:extLst>
                        <a:ext uri="{28A0092B-C50C-407E-A947-70E740481C1C}"/>
                      </a:extLst>
                    </a:blip>
                    <a:srcRect/>
                    <a:stretch>
                      <a:fillRect/>
                    </a:stretch>
                  </pic:blipFill>
                  <pic:spPr bwMode="auto">
                    <a:xfrm>
                      <a:off x="0" y="0"/>
                      <a:ext cx="5349240" cy="1602740"/>
                    </a:xfrm>
                    <a:prstGeom prst="rect">
                      <a:avLst/>
                    </a:prstGeom>
                    <a:noFill/>
                  </pic:spPr>
                </pic:pic>
              </a:graphicData>
            </a:graphic>
          </wp:anchor>
        </w:drawing>
      </w:r>
    </w:p>
    <w:p>
      <w:pPr>
        <w:sectPr>
          <w:pgSz w:w="11900" w:h="16838" w:orient="portrait"/>
          <w:cols w:equalWidth="0" w:num="1">
            <w:col w:w="9019"/>
          </w:cols>
          <w:pgMar w:left="1440" w:top="724" w:right="1440"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b w:val="1"/>
          <w:bCs w:val="1"/>
          <w:color w:val="auto"/>
        </w:rPr>
        <w:t>EXHIBIT D TO LEASE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ACKNOWLEDGMENT OF COMMENCEMENT DATE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ACKNOWLEDGMENT OF COMMENCEMENT DATE</w:t>
      </w:r>
      <w:r>
        <w:rPr>
          <w:rFonts w:ascii="Arial" w:cs="Arial" w:eastAsia="Arial" w:hAnsi="Arial"/>
          <w:sz w:val="18"/>
          <w:szCs w:val="18"/>
          <w:color w:val="auto"/>
        </w:rPr>
        <w:t xml:space="preserve"> is made this _____ day of ______________, ____, between </w:t>
      </w:r>
      <w:r>
        <w:rPr>
          <w:rFonts w:ascii="Arial" w:cs="Arial" w:eastAsia="Arial" w:hAnsi="Arial"/>
          <w:sz w:val="18"/>
          <w:szCs w:val="18"/>
          <w:b w:val="1"/>
          <w:bCs w:val="1"/>
          <w:color w:val="auto"/>
        </w:rPr>
        <w:t>601 &amp; 651</w:t>
      </w:r>
    </w:p>
    <w:p>
      <w:pPr>
        <w:spacing w:after="0" w:line="18" w:lineRule="exact"/>
        <w:rPr>
          <w:sz w:val="20"/>
          <w:szCs w:val="20"/>
          <w:color w:val="auto"/>
        </w:rPr>
      </w:pPr>
    </w:p>
    <w:p>
      <w:pPr>
        <w:ind w:right="480"/>
        <w:spacing w:after="0"/>
        <w:rPr>
          <w:sz w:val="20"/>
          <w:szCs w:val="20"/>
          <w:color w:val="auto"/>
        </w:rPr>
      </w:pPr>
      <w:r>
        <w:rPr>
          <w:rFonts w:ascii="Arial" w:cs="Arial" w:eastAsia="Arial" w:hAnsi="Arial"/>
          <w:sz w:val="18"/>
          <w:szCs w:val="18"/>
          <w:b w:val="1"/>
          <w:bCs w:val="1"/>
          <w:color w:val="auto"/>
        </w:rPr>
        <w:t>GATEWAY CENTER LP</w:t>
      </w:r>
      <w:r>
        <w:rPr>
          <w:rFonts w:ascii="Arial" w:cs="Arial" w:eastAsia="Arial" w:hAnsi="Arial"/>
          <w:sz w:val="18"/>
          <w:szCs w:val="18"/>
          <w:color w:val="auto"/>
        </w:rPr>
        <w:t>, a Delaware limited partnership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ALIGOS THERAPEUTICS, INC.</w:t>
      </w:r>
      <w:r>
        <w:rPr>
          <w:rFonts w:ascii="Arial" w:cs="Arial" w:eastAsia="Arial" w:hAnsi="Arial"/>
          <w:sz w:val="18"/>
          <w:szCs w:val="18"/>
          <w:color w:val="auto"/>
        </w:rPr>
        <w:t>,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 and is attached to and made a part of the Lease dated ______________, 2021 (the “</w:t>
      </w:r>
      <w:r>
        <w:rPr>
          <w:rFonts w:ascii="Arial" w:cs="Arial" w:eastAsia="Arial" w:hAnsi="Arial"/>
          <w:sz w:val="18"/>
          <w:szCs w:val="18"/>
          <w:b w:val="1"/>
          <w:bCs w:val="1"/>
          <w:color w:val="auto"/>
        </w:rPr>
        <w:t>Lease</w:t>
      </w:r>
      <w:r>
        <w:rPr>
          <w:rFonts w:ascii="Arial" w:cs="Arial" w:eastAsia="Arial" w:hAnsi="Arial"/>
          <w:sz w:val="18"/>
          <w:szCs w:val="18"/>
          <w:color w:val="auto"/>
        </w:rPr>
        <w:t>”), by and between Landlord and Tenant. Any initially capitalized terms used but not defined herein shall have the meanings given them in the Lease.</w:t>
      </w:r>
    </w:p>
    <w:p>
      <w:pPr>
        <w:spacing w:after="0" w:line="189"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Landlord and Tenant hereby acknowledge and agree, for all purposes of the Lease, that the Commencement Date of the Base Term of the Lease is ______________, _____, the Rent Commencement Date is ______________, _____ and the termination date of the Base Term of</w:t>
      </w:r>
    </w:p>
    <w:p>
      <w:pPr>
        <w:spacing w:after="0" w:line="235" w:lineRule="auto"/>
        <w:rPr>
          <w:sz w:val="20"/>
          <w:szCs w:val="20"/>
          <w:color w:val="auto"/>
        </w:rPr>
      </w:pPr>
      <w:r>
        <w:rPr>
          <w:rFonts w:ascii="Arial" w:cs="Arial" w:eastAsia="Arial" w:hAnsi="Arial"/>
          <w:sz w:val="18"/>
          <w:szCs w:val="18"/>
          <w:color w:val="auto"/>
        </w:rPr>
        <w:t>the Lease shall be midnight on ______________, _____. In case of a conflict between the terms of the Lease and the terms of this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Acknowledgment of Commencement Date, this Acknowledgment of Commencement Date shall control for all purposes.</w:t>
      </w:r>
    </w:p>
    <w:p>
      <w:pPr>
        <w:spacing w:after="0" w:line="198"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IN WITNESS WHEREOF, Landlord and Tenant have executed this ACKNOWLEDGMENT OF COMMENCEMENT DATE to be effective on the date first above written.</w:t>
      </w:r>
    </w:p>
    <w:p>
      <w:pPr>
        <w:spacing w:after="0" w:line="3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LANDLORD:</w:t>
      </w:r>
    </w:p>
    <w:p>
      <w:pPr>
        <w:ind w:left="1920"/>
        <w:spacing w:after="0" w:line="208" w:lineRule="auto"/>
        <w:rPr>
          <w:sz w:val="20"/>
          <w:szCs w:val="20"/>
          <w:color w:val="auto"/>
        </w:rPr>
      </w:pPr>
      <w:r>
        <w:rPr>
          <w:rFonts w:ascii="Arial" w:cs="Arial" w:eastAsia="Arial" w:hAnsi="Arial"/>
          <w:sz w:val="18"/>
          <w:szCs w:val="18"/>
          <w:b w:val="1"/>
          <w:bCs w:val="1"/>
          <w:color w:val="auto"/>
        </w:rPr>
        <w:t>601 &amp; 651 GATEWAY CENTER LP</w:t>
      </w:r>
      <w:r>
        <w:rPr>
          <w:rFonts w:ascii="Arial" w:cs="Arial" w:eastAsia="Arial" w:hAnsi="Arial"/>
          <w:sz w:val="18"/>
          <w:szCs w:val="18"/>
          <w:color w:val="auto"/>
        </w:rPr>
        <w:t>,</w:t>
      </w:r>
    </w:p>
    <w:p>
      <w:pPr>
        <w:ind w:left="1920"/>
        <w:spacing w:after="0"/>
        <w:rPr>
          <w:sz w:val="20"/>
          <w:szCs w:val="20"/>
          <w:color w:val="auto"/>
        </w:rPr>
      </w:pPr>
      <w:r>
        <w:rPr>
          <w:rFonts w:ascii="Arial" w:cs="Arial" w:eastAsia="Arial" w:hAnsi="Arial"/>
          <w:sz w:val="18"/>
          <w:szCs w:val="18"/>
          <w:color w:val="auto"/>
        </w:rPr>
        <w:t>a Delaware limited partnership</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ind w:left="1920"/>
              <w:spacing w:after="0"/>
              <w:rPr>
                <w:sz w:val="20"/>
                <w:szCs w:val="20"/>
                <w:color w:val="auto"/>
              </w:rPr>
            </w:pPr>
            <w:r>
              <w:rPr>
                <w:rFonts w:ascii="Arial" w:cs="Arial" w:eastAsia="Arial" w:hAnsi="Arial"/>
                <w:sz w:val="18"/>
                <w:szCs w:val="18"/>
                <w:color w:val="auto"/>
              </w:rPr>
              <w:t>By:</w:t>
            </w:r>
          </w:p>
        </w:tc>
        <w:tc>
          <w:tcPr>
            <w:tcW w:w="8260" w:type="dxa"/>
            <w:vAlign w:val="bottom"/>
            <w:gridSpan w:val="2"/>
          </w:tcPr>
          <w:p>
            <w:pPr>
              <w:ind w:left="820"/>
              <w:spacing w:after="0"/>
              <w:rPr>
                <w:sz w:val="20"/>
                <w:szCs w:val="20"/>
                <w:color w:val="auto"/>
              </w:rPr>
            </w:pPr>
            <w:r>
              <w:rPr>
                <w:rFonts w:ascii="Arial" w:cs="Arial" w:eastAsia="Arial" w:hAnsi="Arial"/>
                <w:sz w:val="18"/>
                <w:szCs w:val="18"/>
                <w:color w:val="auto"/>
              </w:rPr>
              <w:t>GATEWAY CENTER GP LLC,</w:t>
            </w:r>
          </w:p>
        </w:tc>
      </w:tr>
      <w:tr>
        <w:trPr>
          <w:trHeight w:val="176"/>
        </w:trPr>
        <w:tc>
          <w:tcPr>
            <w:tcW w:w="2980" w:type="dxa"/>
            <w:vAlign w:val="bottom"/>
          </w:tcPr>
          <w:p>
            <w:pPr>
              <w:spacing w:after="0"/>
              <w:rPr>
                <w:sz w:val="15"/>
                <w:szCs w:val="15"/>
                <w:color w:val="auto"/>
              </w:rPr>
            </w:pPr>
          </w:p>
        </w:tc>
        <w:tc>
          <w:tcPr>
            <w:tcW w:w="8260" w:type="dxa"/>
            <w:vAlign w:val="bottom"/>
            <w:gridSpan w:val="2"/>
          </w:tcPr>
          <w:p>
            <w:pPr>
              <w:ind w:left="820"/>
              <w:spacing w:after="0" w:line="176" w:lineRule="exact"/>
              <w:rPr>
                <w:sz w:val="20"/>
                <w:szCs w:val="20"/>
                <w:color w:val="auto"/>
              </w:rPr>
            </w:pPr>
            <w:r>
              <w:rPr>
                <w:rFonts w:ascii="Arial" w:cs="Arial" w:eastAsia="Arial" w:hAnsi="Arial"/>
                <w:sz w:val="18"/>
                <w:szCs w:val="18"/>
                <w:color w:val="auto"/>
              </w:rPr>
              <w:t>a Delaware limited liability company,</w:t>
            </w:r>
          </w:p>
        </w:tc>
      </w:tr>
      <w:tr>
        <w:trPr>
          <w:trHeight w:val="217"/>
        </w:trPr>
        <w:tc>
          <w:tcPr>
            <w:tcW w:w="2980" w:type="dxa"/>
            <w:vAlign w:val="bottom"/>
          </w:tcPr>
          <w:p>
            <w:pPr>
              <w:spacing w:after="0"/>
              <w:rPr>
                <w:sz w:val="18"/>
                <w:szCs w:val="18"/>
                <w:color w:val="auto"/>
              </w:rPr>
            </w:pPr>
          </w:p>
        </w:tc>
        <w:tc>
          <w:tcPr>
            <w:tcW w:w="8260" w:type="dxa"/>
            <w:vAlign w:val="bottom"/>
            <w:gridSpan w:val="2"/>
          </w:tcPr>
          <w:p>
            <w:pPr>
              <w:ind w:left="820"/>
              <w:spacing w:after="0"/>
              <w:rPr>
                <w:sz w:val="20"/>
                <w:szCs w:val="20"/>
                <w:color w:val="auto"/>
              </w:rPr>
            </w:pPr>
            <w:r>
              <w:rPr>
                <w:rFonts w:ascii="Arial" w:cs="Arial" w:eastAsia="Arial" w:hAnsi="Arial"/>
                <w:sz w:val="18"/>
                <w:szCs w:val="18"/>
                <w:color w:val="auto"/>
              </w:rPr>
              <w:t>general partner</w:t>
            </w:r>
          </w:p>
        </w:tc>
      </w:tr>
      <w:tr>
        <w:trPr>
          <w:trHeight w:val="337"/>
        </w:trPr>
        <w:tc>
          <w:tcPr>
            <w:tcW w:w="2980" w:type="dxa"/>
            <w:vAlign w:val="bottom"/>
          </w:tcPr>
          <w:p>
            <w:pPr>
              <w:ind w:left="1920"/>
              <w:spacing w:after="0"/>
              <w:rPr>
                <w:sz w:val="20"/>
                <w:szCs w:val="20"/>
                <w:color w:val="auto"/>
              </w:rPr>
            </w:pPr>
            <w:r>
              <w:rPr>
                <w:rFonts w:ascii="Arial" w:cs="Arial" w:eastAsia="Arial" w:hAnsi="Arial"/>
                <w:sz w:val="18"/>
                <w:szCs w:val="18"/>
                <w:color w:val="auto"/>
              </w:rPr>
              <w:t>By:</w:t>
            </w:r>
          </w:p>
        </w:tc>
        <w:tc>
          <w:tcPr>
            <w:tcW w:w="8260" w:type="dxa"/>
            <w:vAlign w:val="bottom"/>
            <w:gridSpan w:val="2"/>
          </w:tcPr>
          <w:p>
            <w:pPr>
              <w:ind w:left="820"/>
              <w:spacing w:after="0"/>
              <w:rPr>
                <w:sz w:val="20"/>
                <w:szCs w:val="20"/>
                <w:color w:val="auto"/>
              </w:rPr>
            </w:pPr>
            <w:r>
              <w:rPr>
                <w:rFonts w:ascii="Arial" w:cs="Arial" w:eastAsia="Arial" w:hAnsi="Arial"/>
                <w:sz w:val="18"/>
                <w:szCs w:val="18"/>
                <w:color w:val="auto"/>
              </w:rPr>
              <w:t>GATEWAY PORTFOLIO MEMBER LLC,</w:t>
            </w:r>
          </w:p>
        </w:tc>
      </w:tr>
      <w:tr>
        <w:trPr>
          <w:trHeight w:val="217"/>
        </w:trPr>
        <w:tc>
          <w:tcPr>
            <w:tcW w:w="2980" w:type="dxa"/>
            <w:vAlign w:val="bottom"/>
          </w:tcPr>
          <w:p>
            <w:pPr>
              <w:spacing w:after="0"/>
              <w:rPr>
                <w:sz w:val="18"/>
                <w:szCs w:val="18"/>
                <w:color w:val="auto"/>
              </w:rPr>
            </w:pPr>
          </w:p>
        </w:tc>
        <w:tc>
          <w:tcPr>
            <w:tcW w:w="8260" w:type="dxa"/>
            <w:vAlign w:val="bottom"/>
            <w:gridSpan w:val="2"/>
          </w:tcPr>
          <w:p>
            <w:pPr>
              <w:ind w:left="820"/>
              <w:spacing w:after="0"/>
              <w:rPr>
                <w:sz w:val="20"/>
                <w:szCs w:val="20"/>
                <w:color w:val="auto"/>
              </w:rPr>
            </w:pPr>
            <w:r>
              <w:rPr>
                <w:rFonts w:ascii="Arial" w:cs="Arial" w:eastAsia="Arial" w:hAnsi="Arial"/>
                <w:sz w:val="18"/>
                <w:szCs w:val="18"/>
                <w:color w:val="auto"/>
              </w:rPr>
              <w:t>a Delaware limited liability company, managing member</w:t>
            </w:r>
          </w:p>
        </w:tc>
      </w:tr>
      <w:tr>
        <w:trPr>
          <w:trHeight w:val="337"/>
        </w:trPr>
        <w:tc>
          <w:tcPr>
            <w:tcW w:w="2980" w:type="dxa"/>
            <w:vAlign w:val="bottom"/>
          </w:tcPr>
          <w:p>
            <w:pPr>
              <w:ind w:left="1920"/>
              <w:spacing w:after="0"/>
              <w:rPr>
                <w:sz w:val="20"/>
                <w:szCs w:val="20"/>
                <w:color w:val="auto"/>
              </w:rPr>
            </w:pPr>
            <w:r>
              <w:rPr>
                <w:rFonts w:ascii="Arial" w:cs="Arial" w:eastAsia="Arial" w:hAnsi="Arial"/>
                <w:sz w:val="18"/>
                <w:szCs w:val="18"/>
                <w:color w:val="auto"/>
              </w:rPr>
              <w:t>By:</w:t>
            </w:r>
          </w:p>
        </w:tc>
        <w:tc>
          <w:tcPr>
            <w:tcW w:w="8260" w:type="dxa"/>
            <w:vAlign w:val="bottom"/>
            <w:gridSpan w:val="2"/>
          </w:tcPr>
          <w:p>
            <w:pPr>
              <w:ind w:left="820"/>
              <w:spacing w:after="0"/>
              <w:rPr>
                <w:sz w:val="20"/>
                <w:szCs w:val="20"/>
                <w:color w:val="auto"/>
              </w:rPr>
            </w:pPr>
            <w:r>
              <w:rPr>
                <w:rFonts w:ascii="Arial" w:cs="Arial" w:eastAsia="Arial" w:hAnsi="Arial"/>
                <w:sz w:val="18"/>
                <w:szCs w:val="18"/>
                <w:color w:val="auto"/>
              </w:rPr>
              <w:t>GATEWAY PORTFOLIO HOLDINGS LLC, a Delaware</w:t>
            </w:r>
          </w:p>
        </w:tc>
      </w:tr>
      <w:tr>
        <w:trPr>
          <w:trHeight w:val="217"/>
        </w:trPr>
        <w:tc>
          <w:tcPr>
            <w:tcW w:w="2980" w:type="dxa"/>
            <w:vAlign w:val="bottom"/>
          </w:tcPr>
          <w:p>
            <w:pPr>
              <w:spacing w:after="0"/>
              <w:rPr>
                <w:sz w:val="18"/>
                <w:szCs w:val="18"/>
                <w:color w:val="auto"/>
              </w:rPr>
            </w:pPr>
          </w:p>
        </w:tc>
        <w:tc>
          <w:tcPr>
            <w:tcW w:w="8260" w:type="dxa"/>
            <w:vAlign w:val="bottom"/>
            <w:gridSpan w:val="2"/>
          </w:tcPr>
          <w:p>
            <w:pPr>
              <w:ind w:left="820"/>
              <w:spacing w:after="0"/>
              <w:rPr>
                <w:sz w:val="20"/>
                <w:szCs w:val="20"/>
                <w:color w:val="auto"/>
              </w:rPr>
            </w:pPr>
            <w:r>
              <w:rPr>
                <w:rFonts w:ascii="Arial" w:cs="Arial" w:eastAsia="Arial" w:hAnsi="Arial"/>
                <w:sz w:val="18"/>
                <w:szCs w:val="18"/>
                <w:color w:val="auto"/>
              </w:rPr>
              <w:t>limited liability company, managing member</w:t>
            </w:r>
          </w:p>
        </w:tc>
      </w:tr>
      <w:tr>
        <w:trPr>
          <w:trHeight w:val="337"/>
        </w:trPr>
        <w:tc>
          <w:tcPr>
            <w:tcW w:w="2980" w:type="dxa"/>
            <w:vAlign w:val="bottom"/>
          </w:tcPr>
          <w:p>
            <w:pPr>
              <w:ind w:left="1920"/>
              <w:spacing w:after="0"/>
              <w:rPr>
                <w:sz w:val="20"/>
                <w:szCs w:val="20"/>
                <w:color w:val="auto"/>
              </w:rPr>
            </w:pPr>
            <w:r>
              <w:rPr>
                <w:rFonts w:ascii="Arial" w:cs="Arial" w:eastAsia="Arial" w:hAnsi="Arial"/>
                <w:sz w:val="18"/>
                <w:szCs w:val="18"/>
                <w:color w:val="auto"/>
              </w:rPr>
              <w:t>By:</w:t>
            </w:r>
          </w:p>
        </w:tc>
        <w:tc>
          <w:tcPr>
            <w:tcW w:w="8260" w:type="dxa"/>
            <w:vAlign w:val="bottom"/>
            <w:gridSpan w:val="2"/>
          </w:tcPr>
          <w:p>
            <w:pPr>
              <w:ind w:left="820"/>
              <w:spacing w:after="0"/>
              <w:rPr>
                <w:sz w:val="20"/>
                <w:szCs w:val="20"/>
                <w:color w:val="auto"/>
              </w:rPr>
            </w:pPr>
            <w:r>
              <w:rPr>
                <w:rFonts w:ascii="Arial" w:cs="Arial" w:eastAsia="Arial" w:hAnsi="Arial"/>
                <w:sz w:val="18"/>
                <w:szCs w:val="18"/>
                <w:color w:val="auto"/>
              </w:rPr>
              <w:t>ARE-SAN FRANCISCO NO. 83, LLC</w:t>
            </w:r>
          </w:p>
        </w:tc>
      </w:tr>
      <w:tr>
        <w:trPr>
          <w:trHeight w:val="217"/>
        </w:trPr>
        <w:tc>
          <w:tcPr>
            <w:tcW w:w="2980" w:type="dxa"/>
            <w:vAlign w:val="bottom"/>
          </w:tcPr>
          <w:p>
            <w:pPr>
              <w:spacing w:after="0"/>
              <w:rPr>
                <w:sz w:val="18"/>
                <w:szCs w:val="18"/>
                <w:color w:val="auto"/>
              </w:rPr>
            </w:pPr>
          </w:p>
        </w:tc>
        <w:tc>
          <w:tcPr>
            <w:tcW w:w="8260" w:type="dxa"/>
            <w:vAlign w:val="bottom"/>
            <w:gridSpan w:val="2"/>
          </w:tcPr>
          <w:p>
            <w:pPr>
              <w:ind w:left="820"/>
              <w:spacing w:after="0"/>
              <w:rPr>
                <w:sz w:val="20"/>
                <w:szCs w:val="20"/>
                <w:color w:val="auto"/>
              </w:rPr>
            </w:pPr>
            <w:r>
              <w:rPr>
                <w:rFonts w:ascii="Arial" w:cs="Arial" w:eastAsia="Arial" w:hAnsi="Arial"/>
                <w:sz w:val="18"/>
                <w:szCs w:val="18"/>
                <w:color w:val="auto"/>
              </w:rPr>
              <w:t>a Delaware limited liability company, managing member</w:t>
            </w:r>
          </w:p>
        </w:tc>
      </w:tr>
      <w:tr>
        <w:trPr>
          <w:trHeight w:val="512"/>
        </w:trPr>
        <w:tc>
          <w:tcPr>
            <w:tcW w:w="2980" w:type="dxa"/>
            <w:vAlign w:val="bottom"/>
          </w:tcPr>
          <w:p>
            <w:pPr>
              <w:ind w:left="1920"/>
              <w:spacing w:after="0"/>
              <w:rPr>
                <w:sz w:val="20"/>
                <w:szCs w:val="20"/>
                <w:color w:val="auto"/>
              </w:rPr>
            </w:pPr>
            <w:r>
              <w:rPr>
                <w:rFonts w:ascii="Arial" w:cs="Arial" w:eastAsia="Arial" w:hAnsi="Arial"/>
                <w:sz w:val="18"/>
                <w:szCs w:val="18"/>
                <w:color w:val="auto"/>
              </w:rPr>
              <w:t>By:</w:t>
            </w:r>
          </w:p>
        </w:tc>
        <w:tc>
          <w:tcPr>
            <w:tcW w:w="8260" w:type="dxa"/>
            <w:vAlign w:val="bottom"/>
            <w:gridSpan w:val="2"/>
          </w:tcPr>
          <w:p>
            <w:pPr>
              <w:ind w:left="820"/>
              <w:spacing w:after="0"/>
              <w:rPr>
                <w:sz w:val="20"/>
                <w:szCs w:val="20"/>
                <w:color w:val="auto"/>
              </w:rPr>
            </w:pPr>
            <w:r>
              <w:rPr>
                <w:rFonts w:ascii="Arial" w:cs="Arial" w:eastAsia="Arial" w:hAnsi="Arial"/>
                <w:sz w:val="18"/>
                <w:szCs w:val="18"/>
                <w:color w:val="auto"/>
              </w:rPr>
              <w:t>ALEXANDRIA REAL ESTATE EQUITIES, L.P., a</w:t>
            </w:r>
          </w:p>
        </w:tc>
      </w:tr>
      <w:tr>
        <w:trPr>
          <w:trHeight w:val="217"/>
        </w:trPr>
        <w:tc>
          <w:tcPr>
            <w:tcW w:w="2980" w:type="dxa"/>
            <w:vAlign w:val="bottom"/>
          </w:tcPr>
          <w:p>
            <w:pPr>
              <w:spacing w:after="0"/>
              <w:rPr>
                <w:sz w:val="18"/>
                <w:szCs w:val="18"/>
                <w:color w:val="auto"/>
              </w:rPr>
            </w:pPr>
          </w:p>
        </w:tc>
        <w:tc>
          <w:tcPr>
            <w:tcW w:w="8260" w:type="dxa"/>
            <w:vAlign w:val="bottom"/>
            <w:gridSpan w:val="2"/>
          </w:tcPr>
          <w:p>
            <w:pPr>
              <w:ind w:left="820"/>
              <w:spacing w:after="0"/>
              <w:rPr>
                <w:sz w:val="20"/>
                <w:szCs w:val="20"/>
                <w:color w:val="auto"/>
              </w:rPr>
            </w:pPr>
            <w:r>
              <w:rPr>
                <w:rFonts w:ascii="Arial" w:cs="Arial" w:eastAsia="Arial" w:hAnsi="Arial"/>
                <w:sz w:val="18"/>
                <w:szCs w:val="18"/>
                <w:color w:val="auto"/>
              </w:rPr>
              <w:t>Delaware limited partnership, managing member</w:t>
            </w:r>
          </w:p>
        </w:tc>
      </w:tr>
      <w:tr>
        <w:trPr>
          <w:trHeight w:val="337"/>
        </w:trPr>
        <w:tc>
          <w:tcPr>
            <w:tcW w:w="2980" w:type="dxa"/>
            <w:vAlign w:val="bottom"/>
          </w:tcPr>
          <w:p>
            <w:pPr>
              <w:ind w:left="1920"/>
              <w:spacing w:after="0"/>
              <w:rPr>
                <w:sz w:val="20"/>
                <w:szCs w:val="20"/>
                <w:color w:val="auto"/>
              </w:rPr>
            </w:pPr>
            <w:r>
              <w:rPr>
                <w:rFonts w:ascii="Arial" w:cs="Arial" w:eastAsia="Arial" w:hAnsi="Arial"/>
                <w:sz w:val="18"/>
                <w:szCs w:val="18"/>
                <w:color w:val="auto"/>
              </w:rPr>
              <w:t>By:</w:t>
            </w:r>
          </w:p>
        </w:tc>
        <w:tc>
          <w:tcPr>
            <w:tcW w:w="8260" w:type="dxa"/>
            <w:vAlign w:val="bottom"/>
            <w:gridSpan w:val="2"/>
          </w:tcPr>
          <w:p>
            <w:pPr>
              <w:ind w:left="820"/>
              <w:spacing w:after="0"/>
              <w:rPr>
                <w:sz w:val="20"/>
                <w:szCs w:val="20"/>
                <w:color w:val="auto"/>
              </w:rPr>
            </w:pPr>
            <w:r>
              <w:rPr>
                <w:rFonts w:ascii="Arial" w:cs="Arial" w:eastAsia="Arial" w:hAnsi="Arial"/>
                <w:sz w:val="18"/>
                <w:szCs w:val="18"/>
                <w:color w:val="auto"/>
              </w:rPr>
              <w:t>ARE-QRS CORP.,</w:t>
            </w:r>
          </w:p>
        </w:tc>
      </w:tr>
      <w:tr>
        <w:trPr>
          <w:trHeight w:val="217"/>
        </w:trPr>
        <w:tc>
          <w:tcPr>
            <w:tcW w:w="2980" w:type="dxa"/>
            <w:vAlign w:val="bottom"/>
          </w:tcPr>
          <w:p>
            <w:pPr>
              <w:spacing w:after="0"/>
              <w:rPr>
                <w:sz w:val="18"/>
                <w:szCs w:val="18"/>
                <w:color w:val="auto"/>
              </w:rPr>
            </w:pPr>
          </w:p>
        </w:tc>
        <w:tc>
          <w:tcPr>
            <w:tcW w:w="8260" w:type="dxa"/>
            <w:vAlign w:val="bottom"/>
            <w:gridSpan w:val="2"/>
          </w:tcPr>
          <w:p>
            <w:pPr>
              <w:ind w:left="820"/>
              <w:spacing w:after="0"/>
              <w:rPr>
                <w:sz w:val="20"/>
                <w:szCs w:val="20"/>
                <w:color w:val="auto"/>
              </w:rPr>
            </w:pPr>
            <w:r>
              <w:rPr>
                <w:rFonts w:ascii="Arial" w:cs="Arial" w:eastAsia="Arial" w:hAnsi="Arial"/>
                <w:sz w:val="18"/>
                <w:szCs w:val="18"/>
                <w:color w:val="auto"/>
              </w:rPr>
              <w:t>a Maryland corporation, general partner</w:t>
            </w:r>
          </w:p>
        </w:tc>
      </w:tr>
      <w:tr>
        <w:trPr>
          <w:trHeight w:val="364"/>
        </w:trPr>
        <w:tc>
          <w:tcPr>
            <w:tcW w:w="29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r>
      <w:tr>
        <w:trPr>
          <w:trHeight w:val="183"/>
        </w:trPr>
        <w:tc>
          <w:tcPr>
            <w:tcW w:w="29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5560" w:type="dxa"/>
            <w:vAlign w:val="bottom"/>
            <w:tcBorders>
              <w:bottom w:val="single" w:sz="8" w:color="auto"/>
            </w:tcBorders>
          </w:tcPr>
          <w:p>
            <w:pPr>
              <w:ind w:left="20"/>
              <w:spacing w:after="0" w:line="182" w:lineRule="exact"/>
              <w:rPr>
                <w:sz w:val="20"/>
                <w:szCs w:val="20"/>
                <w:color w:val="auto"/>
              </w:rPr>
            </w:pPr>
            <w:r>
              <w:rPr>
                <w:rFonts w:ascii="Arial" w:cs="Arial" w:eastAsia="Arial" w:hAnsi="Arial"/>
                <w:sz w:val="18"/>
                <w:szCs w:val="18"/>
                <w:color w:val="auto"/>
              </w:rPr>
              <w:t>Its:</w:t>
            </w:r>
          </w:p>
        </w:tc>
      </w:tr>
      <w:tr>
        <w:trPr>
          <w:trHeight w:val="514"/>
        </w:trPr>
        <w:tc>
          <w:tcPr>
            <w:tcW w:w="298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97" w:name="page198"/>
    <w:bookmarkEnd w:id="197"/>
    <w:p>
      <w:pPr>
        <w:ind w:left="4680"/>
        <w:spacing w:after="0"/>
        <w:rPr>
          <w:sz w:val="20"/>
          <w:szCs w:val="20"/>
          <w:color w:val="auto"/>
        </w:rPr>
      </w:pPr>
      <w:r>
        <w:rPr>
          <w:rFonts w:ascii="Arial" w:cs="Arial" w:eastAsia="Arial" w:hAnsi="Arial"/>
          <w:sz w:val="18"/>
          <w:szCs w:val="18"/>
          <w:b w:val="1"/>
          <w:bCs w:val="1"/>
          <w:color w:val="auto"/>
        </w:rPr>
        <w:t>TENANT:</w:t>
      </w:r>
    </w:p>
    <w:p>
      <w:pPr>
        <w:spacing w:after="0" w:line="171" w:lineRule="exact"/>
        <w:rPr>
          <w:sz w:val="20"/>
          <w:szCs w:val="20"/>
          <w:color w:val="auto"/>
        </w:rPr>
      </w:pPr>
    </w:p>
    <w:p>
      <w:pPr>
        <w:ind w:left="4680"/>
        <w:spacing w:after="0"/>
        <w:rPr>
          <w:sz w:val="20"/>
          <w:szCs w:val="20"/>
          <w:color w:val="auto"/>
        </w:rPr>
      </w:pPr>
      <w:r>
        <w:rPr>
          <w:rFonts w:ascii="Arial" w:cs="Arial" w:eastAsia="Arial" w:hAnsi="Arial"/>
          <w:sz w:val="17"/>
          <w:szCs w:val="17"/>
          <w:b w:val="1"/>
          <w:bCs w:val="1"/>
          <w:color w:val="auto"/>
        </w:rPr>
        <w:t>ALIGOS THERAPEUTICS, INC.</w:t>
      </w:r>
      <w:r>
        <w:rPr>
          <w:rFonts w:ascii="Arial" w:cs="Arial" w:eastAsia="Arial" w:hAnsi="Arial"/>
          <w:sz w:val="17"/>
          <w:szCs w:val="17"/>
          <w:color w:val="auto"/>
        </w:rPr>
        <w:t>,</w:t>
      </w:r>
    </w:p>
    <w:p>
      <w:pPr>
        <w:spacing w:after="0" w:line="16"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a Delaware corporation</w:t>
      </w:r>
    </w:p>
    <w:p>
      <w:pPr>
        <w:spacing w:after="0" w:line="15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By:</w:t>
      </w:r>
    </w:p>
    <w:p>
      <w:pPr>
        <w:ind w:left="468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-130175</wp:posOffset>
            </wp:positionV>
            <wp:extent cx="34632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2">
                      <a:extLst>
                        <a:ext uri="{28A0092B-C50C-407E-A947-70E740481C1C}"/>
                      </a:extLst>
                    </a:blip>
                    <a:srcRect/>
                    <a:stretch>
                      <a:fillRect/>
                    </a:stretch>
                  </pic:blipFill>
                  <pic:spPr bwMode="auto">
                    <a:xfrm>
                      <a:off x="0" y="0"/>
                      <a:ext cx="34632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-1905</wp:posOffset>
            </wp:positionV>
            <wp:extent cx="34632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3">
                      <a:extLst>
                        <a:ext uri="{28A0092B-C50C-407E-A947-70E740481C1C}"/>
                      </a:extLst>
                    </a:blip>
                    <a:srcRect/>
                    <a:stretch>
                      <a:fillRect/>
                    </a:stretch>
                  </pic:blipFill>
                  <pic:spPr bwMode="auto">
                    <a:xfrm>
                      <a:off x="0" y="0"/>
                      <a:ext cx="3463290" cy="825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447675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95" w:right="1440" w:bottom="1440" w:gutter="0" w:footer="0" w:header="0"/>
        </w:sectPr>
      </w:pPr>
    </w:p>
    <w:bookmarkStart w:id="198" w:name="page199"/>
    <w:bookmarkEnd w:id="198"/>
    <w:p>
      <w:pPr>
        <w:ind w:left="4203"/>
        <w:spacing w:after="0"/>
        <w:rPr>
          <w:sz w:val="20"/>
          <w:szCs w:val="20"/>
          <w:color w:val="auto"/>
        </w:rPr>
      </w:pPr>
      <w:r>
        <w:rPr>
          <w:rFonts w:ascii="Arial" w:cs="Arial" w:eastAsia="Arial" w:hAnsi="Arial"/>
          <w:sz w:val="18"/>
          <w:szCs w:val="18"/>
          <w:b w:val="1"/>
          <w:bCs w:val="1"/>
          <w:color w:val="auto"/>
        </w:rPr>
        <w:t>EXHIBIT E TO LEASE</w:t>
      </w:r>
    </w:p>
    <w:p>
      <w:pPr>
        <w:spacing w:after="0" w:line="198" w:lineRule="exact"/>
        <w:rPr>
          <w:sz w:val="20"/>
          <w:szCs w:val="20"/>
          <w:color w:val="auto"/>
        </w:rPr>
      </w:pPr>
    </w:p>
    <w:p>
      <w:pPr>
        <w:ind w:left="4143"/>
        <w:spacing w:after="0"/>
        <w:rPr>
          <w:sz w:val="20"/>
          <w:szCs w:val="20"/>
          <w:color w:val="auto"/>
        </w:rPr>
      </w:pPr>
      <w:r>
        <w:rPr>
          <w:rFonts w:ascii="Arial" w:cs="Arial" w:eastAsia="Arial" w:hAnsi="Arial"/>
          <w:sz w:val="18"/>
          <w:szCs w:val="18"/>
          <w:b w:val="1"/>
          <w:bCs w:val="1"/>
          <w:u w:val="single" w:color="auto"/>
          <w:color w:val="auto"/>
        </w:rPr>
        <w:t>Rules and Regulations</w:t>
      </w:r>
    </w:p>
    <w:p>
      <w:pPr>
        <w:spacing w:after="0" w:line="315" w:lineRule="exact"/>
        <w:rPr>
          <w:sz w:val="20"/>
          <w:szCs w:val="20"/>
          <w:color w:val="auto"/>
        </w:rPr>
      </w:pPr>
    </w:p>
    <w:p>
      <w:pPr>
        <w:ind w:left="3" w:right="120" w:hanging="3"/>
        <w:spacing w:after="0" w:line="261" w:lineRule="auto"/>
        <w:tabs>
          <w:tab w:leader="none" w:pos="18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sidewalk, entries, and driveways of the Project shall not be obstructed by Tenant, or any Tenant Party, or used by them for any purpose other than ingress and egress to and from the Premises.</w:t>
      </w:r>
    </w:p>
    <w:p>
      <w:pPr>
        <w:spacing w:after="0" w:line="62" w:lineRule="exact"/>
        <w:rPr>
          <w:rFonts w:ascii="Arial" w:cs="Arial" w:eastAsia="Arial" w:hAnsi="Arial"/>
          <w:sz w:val="18"/>
          <w:szCs w:val="18"/>
          <w:color w:val="auto"/>
        </w:rPr>
      </w:pPr>
    </w:p>
    <w:p>
      <w:pPr>
        <w:ind w:left="3" w:right="200" w:hanging="3"/>
        <w:spacing w:after="0" w:line="261" w:lineRule="auto"/>
        <w:tabs>
          <w:tab w:leader="none" w:pos="18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Tenant shall not place any objects, including antennas, outdoor furniture, etc., in the parking areas, landscaped areas or other areas outside of its Premises, or on the roof of the Project.</w:t>
      </w:r>
    </w:p>
    <w:p>
      <w:pPr>
        <w:spacing w:after="0" w:line="62" w:lineRule="exact"/>
        <w:rPr>
          <w:rFonts w:ascii="Arial" w:cs="Arial" w:eastAsia="Arial" w:hAnsi="Arial"/>
          <w:sz w:val="18"/>
          <w:szCs w:val="18"/>
          <w:color w:val="auto"/>
        </w:rPr>
      </w:pPr>
    </w:p>
    <w:p>
      <w:pPr>
        <w:ind w:left="183" w:hanging="183"/>
        <w:spacing w:after="0"/>
        <w:tabs>
          <w:tab w:leader="none" w:pos="18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Except for animals assisting the disabled, no animals shall be allowed in the offices, halls, or corridors in the Project.</w:t>
      </w:r>
    </w:p>
    <w:p>
      <w:pPr>
        <w:spacing w:after="0" w:line="103" w:lineRule="exact"/>
        <w:rPr>
          <w:rFonts w:ascii="Arial" w:cs="Arial" w:eastAsia="Arial" w:hAnsi="Arial"/>
          <w:sz w:val="18"/>
          <w:szCs w:val="18"/>
          <w:color w:val="auto"/>
        </w:rPr>
      </w:pPr>
    </w:p>
    <w:p>
      <w:pPr>
        <w:ind w:left="3" w:right="40" w:hanging="3"/>
        <w:spacing w:after="0" w:line="261" w:lineRule="auto"/>
        <w:tabs>
          <w:tab w:leader="none" w:pos="18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Tenant shall not disturb the occupants of the Project or adjoining buildings by the use of any radio or musical instrument or by the making of loud or improper noises.</w:t>
      </w:r>
    </w:p>
    <w:p>
      <w:pPr>
        <w:spacing w:after="0" w:line="62" w:lineRule="exact"/>
        <w:rPr>
          <w:rFonts w:ascii="Arial" w:cs="Arial" w:eastAsia="Arial" w:hAnsi="Arial"/>
          <w:sz w:val="18"/>
          <w:szCs w:val="18"/>
          <w:color w:val="auto"/>
        </w:rPr>
      </w:pPr>
    </w:p>
    <w:p>
      <w:pPr>
        <w:ind w:left="3" w:right="140" w:hanging="3"/>
        <w:spacing w:after="0" w:line="248" w:lineRule="auto"/>
        <w:tabs>
          <w:tab w:leader="none" w:pos="18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Tenant desires telegraphic, telephonic or other electric connections in the Premises, Landlord or its agent will direct the electrician as to where and how the wires may be introduced; and, without such direction, no boring or cutting of wires will be permitted. Any such installation or connection shall be made at Tenant’s expense.</w:t>
      </w:r>
    </w:p>
    <w:p>
      <w:pPr>
        <w:spacing w:after="0" w:line="73" w:lineRule="exact"/>
        <w:rPr>
          <w:rFonts w:ascii="Arial" w:cs="Arial" w:eastAsia="Arial" w:hAnsi="Arial"/>
          <w:sz w:val="18"/>
          <w:szCs w:val="18"/>
          <w:color w:val="auto"/>
        </w:rPr>
      </w:pPr>
    </w:p>
    <w:p>
      <w:pPr>
        <w:ind w:left="3" w:right="240" w:hanging="3"/>
        <w:spacing w:after="0" w:line="248" w:lineRule="auto"/>
        <w:tabs>
          <w:tab w:leader="none" w:pos="18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Tenant shall not install or operate any steam or gas engine or boiler, or other mechanical apparatus in the Premises, except as specifically approved in the Lease. The use of oil, gas or inflammable liquids for heating, lighting or any other purpose is expressly prohibited. Explosives or other articles deemed extra hazardous shall not be brought into the Project.</w:t>
      </w:r>
    </w:p>
    <w:p>
      <w:pPr>
        <w:spacing w:after="0" w:line="73" w:lineRule="exact"/>
        <w:rPr>
          <w:rFonts w:ascii="Arial" w:cs="Arial" w:eastAsia="Arial" w:hAnsi="Arial"/>
          <w:sz w:val="18"/>
          <w:szCs w:val="18"/>
          <w:color w:val="auto"/>
        </w:rPr>
      </w:pPr>
    </w:p>
    <w:p>
      <w:pPr>
        <w:ind w:left="3" w:right="20" w:hanging="3"/>
        <w:spacing w:after="0" w:line="241" w:lineRule="auto"/>
        <w:tabs>
          <w:tab w:leader="none" w:pos="18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Parking any type of recreational vehicles is specifically prohibited on or about the Project. Except for the overnight parking of operative vehicles, no vehicle of any type shall be stored in the parking areas at any time. In the event that a vehicle is disabled, it shall be removed within 48 hours. There shall be no “For Sale” or other advertising signs on or about any parked vehicle. All vehicles shall be parked in the designated parking areas in conformity with all signs and other markings. All parking will be open parking, and no reserved parking, numbering or lettering of individual spaces will be permitted except as specified by Landlord.</w:t>
      </w:r>
    </w:p>
    <w:p>
      <w:pPr>
        <w:spacing w:after="0" w:line="81" w:lineRule="exact"/>
        <w:rPr>
          <w:rFonts w:ascii="Arial" w:cs="Arial" w:eastAsia="Arial" w:hAnsi="Arial"/>
          <w:sz w:val="18"/>
          <w:szCs w:val="18"/>
          <w:color w:val="auto"/>
        </w:rPr>
      </w:pPr>
    </w:p>
    <w:p>
      <w:pPr>
        <w:ind w:left="183" w:hanging="183"/>
        <w:spacing w:after="0"/>
        <w:tabs>
          <w:tab w:leader="none" w:pos="18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Tenant shall maintain the Premises free from rodents, insects and other pests.</w:t>
      </w:r>
    </w:p>
    <w:p>
      <w:pPr>
        <w:spacing w:after="0" w:line="103" w:lineRule="exact"/>
        <w:rPr>
          <w:rFonts w:ascii="Arial" w:cs="Arial" w:eastAsia="Arial" w:hAnsi="Arial"/>
          <w:sz w:val="18"/>
          <w:szCs w:val="18"/>
          <w:color w:val="auto"/>
        </w:rPr>
      </w:pPr>
    </w:p>
    <w:p>
      <w:pPr>
        <w:ind w:left="3" w:right="700" w:hanging="3"/>
        <w:spacing w:after="0" w:line="291" w:lineRule="auto"/>
        <w:tabs>
          <w:tab w:leader="none" w:pos="183" w:val="left"/>
        </w:tabs>
        <w:numPr>
          <w:ilvl w:val="0"/>
          <w:numId w:val="108"/>
        </w:numPr>
        <w:rPr>
          <w:rFonts w:ascii="Arial" w:cs="Arial" w:eastAsia="Arial" w:hAnsi="Arial"/>
          <w:sz w:val="17"/>
          <w:szCs w:val="17"/>
          <w:color w:val="auto"/>
        </w:rPr>
      </w:pPr>
      <w:r>
        <w:rPr>
          <w:rFonts w:ascii="Arial" w:cs="Arial" w:eastAsia="Arial" w:hAnsi="Arial"/>
          <w:sz w:val="17"/>
          <w:szCs w:val="17"/>
          <w:color w:val="auto"/>
        </w:rPr>
        <w:t>Landlord reserves the right to exclude or expel from the Project any person who, in the judgment of Landlord, is intoxicated or under the influence of liquor or drugs or who shall in any manner do any act in violation of the Rules and Regulations of the Project.</w:t>
      </w:r>
    </w:p>
    <w:p>
      <w:pPr>
        <w:spacing w:after="0" w:line="38" w:lineRule="exact"/>
        <w:rPr>
          <w:rFonts w:ascii="Arial" w:cs="Arial" w:eastAsia="Arial" w:hAnsi="Arial"/>
          <w:sz w:val="17"/>
          <w:szCs w:val="17"/>
          <w:color w:val="auto"/>
        </w:rPr>
      </w:pPr>
    </w:p>
    <w:p>
      <w:pPr>
        <w:ind w:left="3" w:hanging="3"/>
        <w:spacing w:after="0" w:line="248" w:lineRule="auto"/>
        <w:tabs>
          <w:tab w:leader="none" w:pos="27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Tenant shall not cause any unnecessary labor by reason of Tenant’s carelessness or indifference in the preservation of good order and cleanliness. Landlord shall not be responsible to Tenant for any loss of property on the Premises, however occurring, or for any damage done to the effects of Tenant by the janitors or any other employee or person.</w:t>
      </w:r>
    </w:p>
    <w:p>
      <w:pPr>
        <w:spacing w:after="0" w:line="73" w:lineRule="exact"/>
        <w:rPr>
          <w:rFonts w:ascii="Arial" w:cs="Arial" w:eastAsia="Arial" w:hAnsi="Arial"/>
          <w:sz w:val="18"/>
          <w:szCs w:val="18"/>
          <w:color w:val="auto"/>
        </w:rPr>
      </w:pPr>
    </w:p>
    <w:p>
      <w:pPr>
        <w:ind w:left="3" w:right="340" w:hanging="3"/>
        <w:spacing w:after="0" w:line="261" w:lineRule="auto"/>
        <w:tabs>
          <w:tab w:leader="none" w:pos="26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Tenant shall give Landlord prompt notice of any defects in the water, lawn sprinkler, sewage, gas pipes, electrical lights and fixtures, heating apparatus, or any other service equipment affecting the Premises.</w:t>
      </w:r>
    </w:p>
    <w:p>
      <w:pPr>
        <w:spacing w:after="0" w:line="62" w:lineRule="exact"/>
        <w:rPr>
          <w:rFonts w:ascii="Arial" w:cs="Arial" w:eastAsia="Arial" w:hAnsi="Arial"/>
          <w:sz w:val="18"/>
          <w:szCs w:val="18"/>
          <w:color w:val="auto"/>
        </w:rPr>
      </w:pPr>
    </w:p>
    <w:p>
      <w:pPr>
        <w:ind w:left="3" w:right="260" w:hanging="3"/>
        <w:spacing w:after="0" w:line="324" w:lineRule="auto"/>
        <w:tabs>
          <w:tab w:leader="none" w:pos="27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Tenant shall not permit storage outside the Premises, including without limitation, outside storage of trucks and other vehicles, or dumping of waste or refuse or permit any harmful materials to be placed in any drainage system or sanitary system in or about the Premises.</w:t>
      </w:r>
    </w:p>
    <w:p>
      <w:pPr>
        <w:spacing w:after="0" w:line="16" w:lineRule="exact"/>
        <w:rPr>
          <w:rFonts w:ascii="Arial" w:cs="Arial" w:eastAsia="Arial" w:hAnsi="Arial"/>
          <w:sz w:val="16"/>
          <w:szCs w:val="16"/>
          <w:color w:val="auto"/>
        </w:rPr>
      </w:pPr>
    </w:p>
    <w:p>
      <w:pPr>
        <w:ind w:left="3" w:right="40" w:hanging="3"/>
        <w:spacing w:after="0" w:line="261" w:lineRule="auto"/>
        <w:tabs>
          <w:tab w:leader="none" w:pos="27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All moveable trash receptacles provided by the trash disposal firm for the Premises must be kept in the trash enclosure areas, if any, provided for that purpose.</w:t>
      </w:r>
    </w:p>
    <w:p>
      <w:pPr>
        <w:spacing w:after="0" w:line="62" w:lineRule="exact"/>
        <w:rPr>
          <w:rFonts w:ascii="Arial" w:cs="Arial" w:eastAsia="Arial" w:hAnsi="Arial"/>
          <w:sz w:val="18"/>
          <w:szCs w:val="18"/>
          <w:color w:val="auto"/>
        </w:rPr>
      </w:pPr>
    </w:p>
    <w:p>
      <w:pPr>
        <w:ind w:left="263" w:hanging="263"/>
        <w:spacing w:after="0"/>
        <w:tabs>
          <w:tab w:leader="none" w:pos="26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 auction, public or private, will be permitted on the Premises or the Project.</w:t>
      </w:r>
    </w:p>
    <w:p>
      <w:pPr>
        <w:spacing w:after="0" w:line="103" w:lineRule="exact"/>
        <w:rPr>
          <w:rFonts w:ascii="Arial" w:cs="Arial" w:eastAsia="Arial" w:hAnsi="Arial"/>
          <w:sz w:val="18"/>
          <w:szCs w:val="18"/>
          <w:color w:val="auto"/>
        </w:rPr>
      </w:pPr>
    </w:p>
    <w:p>
      <w:pPr>
        <w:ind w:left="263" w:hanging="263"/>
        <w:spacing w:after="0"/>
        <w:tabs>
          <w:tab w:leader="none" w:pos="26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 awnings shall be placed over the windows in the Premises except with the prior written consent of Landlord.</w:t>
      </w:r>
    </w:p>
    <w:p>
      <w:pPr>
        <w:spacing w:after="0" w:line="103" w:lineRule="exact"/>
        <w:rPr>
          <w:rFonts w:ascii="Arial" w:cs="Arial" w:eastAsia="Arial" w:hAnsi="Arial"/>
          <w:sz w:val="18"/>
          <w:szCs w:val="18"/>
          <w:color w:val="auto"/>
        </w:rPr>
      </w:pPr>
    </w:p>
    <w:p>
      <w:pPr>
        <w:ind w:left="3" w:right="640" w:hanging="3"/>
        <w:spacing w:after="0" w:line="261" w:lineRule="auto"/>
        <w:tabs>
          <w:tab w:leader="none" w:pos="27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Premises shall not be used for lodging, sleeping or cooking or for any immoral or illegal purposes or for any purpose other than that specified in the Lease. No gaming devices shall be operated in the Premises.</w:t>
      </w:r>
    </w:p>
    <w:p>
      <w:pPr>
        <w:spacing w:after="0" w:line="62" w:lineRule="exact"/>
        <w:rPr>
          <w:rFonts w:ascii="Arial" w:cs="Arial" w:eastAsia="Arial" w:hAnsi="Arial"/>
          <w:sz w:val="18"/>
          <w:szCs w:val="18"/>
          <w:color w:val="auto"/>
        </w:rPr>
      </w:pPr>
    </w:p>
    <w:p>
      <w:pPr>
        <w:jc w:val="both"/>
        <w:ind w:left="3" w:right="260" w:hanging="3"/>
        <w:spacing w:after="0" w:line="243" w:lineRule="auto"/>
        <w:tabs>
          <w:tab w:leader="none" w:pos="27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Tenant shall ascertain from Landlord the maximum amount of electrical current which can safely be used in the Premises, taking into account the capacity of the electrical wiring in the Project and the Premises and the needs of other tenants, and shall not use more than such safe capacity. Landlord’s consent to the installation of electric equipment shall not relieve Tenant from the obligation not to use more electricity than such safe capacity.</w:t>
      </w:r>
    </w:p>
    <w:p>
      <w:pPr>
        <w:spacing w:after="0" w:line="79" w:lineRule="exact"/>
        <w:rPr>
          <w:rFonts w:ascii="Arial" w:cs="Arial" w:eastAsia="Arial" w:hAnsi="Arial"/>
          <w:sz w:val="18"/>
          <w:szCs w:val="18"/>
          <w:color w:val="auto"/>
        </w:rPr>
      </w:pPr>
    </w:p>
    <w:p>
      <w:pPr>
        <w:ind w:left="263" w:hanging="263"/>
        <w:spacing w:after="0"/>
        <w:tabs>
          <w:tab w:leader="none" w:pos="26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Tenant assumes full responsibility for protecting the Premises from theft, robbery and pilferage.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190500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927" w:right="339" w:bottom="1440" w:gutter="0" w:footer="0" w:header="0"/>
        </w:sectPr>
      </w:pPr>
    </w:p>
    <w:bookmarkStart w:id="199" w:name="page200"/>
    <w:bookmarkEnd w:id="199"/>
    <w:p>
      <w:pPr>
        <w:ind w:left="3" w:right="60" w:hanging="3"/>
        <w:spacing w:after="0" w:line="324" w:lineRule="auto"/>
        <w:tabs>
          <w:tab w:leader="none" w:pos="27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Tenant shall not install or operate on the Premises any machinery or mechanical devices of a nature not directly related to Tenant’s ordinary use of the Premises and shall keep all such machinery free of vibration, noise and air waves which may be transmitted beyond the Premises.</w:t>
      </w:r>
    </w:p>
    <w:p>
      <w:pPr>
        <w:spacing w:after="0" w:line="16" w:lineRule="exact"/>
        <w:rPr>
          <w:rFonts w:ascii="Arial" w:cs="Arial" w:eastAsia="Arial" w:hAnsi="Arial"/>
          <w:sz w:val="16"/>
          <w:szCs w:val="16"/>
          <w:color w:val="auto"/>
        </w:rPr>
      </w:pPr>
    </w:p>
    <w:p>
      <w:pPr>
        <w:ind w:left="3" w:right="160" w:hanging="3"/>
        <w:spacing w:after="0" w:line="257" w:lineRule="auto"/>
        <w:tabs>
          <w:tab w:leader="none" w:pos="273"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Tenant shall cause any vendors and other service providers hired by Tenant to perform services at the Premises or the Project to maintain in effect workers’ compensation insurance as required by Legal Requirements and commercial general liability insurance with coverage amounts reasonably acceptable to Landlord. Tenant shall cause such vendors and service providers to name Landlord and Alexandria Real Estate Equities, Inc. as additional insureds under such policies and shall provide Landlord with certificates of insurance evidencing the required coverages (and showing Landlord and Alexandria Real Estate Equities, Inc. as additional insureds under such policies) prior to the applicable vendor or service provider providing any services to Tenant at the Project.</w:t>
      </w:r>
    </w:p>
    <w:p>
      <w:pPr>
        <w:spacing w:after="0" w:line="67" w:lineRule="exact"/>
        <w:rPr>
          <w:rFonts w:ascii="Arial" w:cs="Arial" w:eastAsia="Arial" w:hAnsi="Arial"/>
          <w:sz w:val="17"/>
          <w:szCs w:val="17"/>
          <w:color w:val="auto"/>
        </w:rPr>
      </w:pPr>
    </w:p>
    <w:p>
      <w:pPr>
        <w:ind w:left="3" w:right="180" w:hanging="3"/>
        <w:spacing w:after="0" w:line="261" w:lineRule="auto"/>
        <w:tabs>
          <w:tab w:leader="none" w:pos="27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Neither Tenant nor any of the Tenant Parties shall have the right to photograph, videotape, film, digitally record or by any other means record, transmit and/or distribute any images, pictures or videos of all or any portion of the Premises or the Project.</w:t>
      </w:r>
    </w:p>
    <w:p>
      <w:pPr>
        <w:spacing w:after="0" w:line="62" w:lineRule="exact"/>
        <w:rPr>
          <w:rFonts w:ascii="Arial" w:cs="Arial" w:eastAsia="Arial" w:hAnsi="Arial"/>
          <w:sz w:val="18"/>
          <w:szCs w:val="18"/>
          <w:color w:val="auto"/>
        </w:rPr>
      </w:pPr>
    </w:p>
    <w:p>
      <w:pPr>
        <w:ind w:left="3" w:right="60" w:hanging="3"/>
        <w:spacing w:after="0" w:line="248" w:lineRule="auto"/>
        <w:tabs>
          <w:tab w:leader="none" w:pos="27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Tenant shall regularly review the guidelines published by the Centers for Disease Control (CDC) and any state and/or local Governmental Authorities, and will implement the practices and procedures suggested thereby, as well as industry standard best practices, to prevent the spread of Infectious Conditions, including, without limitation, COVID-19.</w:t>
      </w:r>
    </w:p>
    <w:p>
      <w:pPr>
        <w:spacing w:after="0" w:line="73" w:lineRule="exact"/>
        <w:rPr>
          <w:rFonts w:ascii="Arial" w:cs="Arial" w:eastAsia="Arial" w:hAnsi="Arial"/>
          <w:sz w:val="18"/>
          <w:szCs w:val="18"/>
          <w:color w:val="auto"/>
        </w:rPr>
      </w:pPr>
    </w:p>
    <w:p>
      <w:pPr>
        <w:ind w:left="3" w:hanging="3"/>
        <w:spacing w:after="0" w:line="252" w:lineRule="auto"/>
        <w:tabs>
          <w:tab w:leader="none" w:pos="273" w:val="left"/>
        </w:tabs>
        <w:numPr>
          <w:ilvl w:val="0"/>
          <w:numId w:val="109"/>
        </w:numPr>
        <w:rPr>
          <w:rFonts w:ascii="Arial" w:cs="Arial" w:eastAsia="Arial" w:hAnsi="Arial"/>
          <w:sz w:val="17"/>
          <w:szCs w:val="17"/>
          <w:color w:val="auto"/>
        </w:rPr>
      </w:pPr>
      <w:r>
        <w:rPr>
          <w:rFonts w:ascii="Arial" w:cs="Arial" w:eastAsia="Arial" w:hAnsi="Arial"/>
          <w:sz w:val="17"/>
          <w:szCs w:val="17"/>
          <w:color w:val="auto"/>
        </w:rPr>
        <w:t>Landlord shall have the right to (a) require tenants to implement and enforce reasonable screening and tracking protocols intended to identify and track the activity at the Project of employees, agents, contractors and visitors seeking access to or accessing the Premises and or the Project exhibiting flu-like symptoms or symptoms consistent with those associated with any currently known or unknown Infectious Conditions including, without limitation, COVID-19 (collectively, “</w:t>
      </w:r>
      <w:r>
        <w:rPr>
          <w:rFonts w:ascii="Arial" w:cs="Arial" w:eastAsia="Arial" w:hAnsi="Arial"/>
          <w:sz w:val="17"/>
          <w:szCs w:val="17"/>
          <w:b w:val="1"/>
          <w:bCs w:val="1"/>
          <w:color w:val="auto"/>
        </w:rPr>
        <w:t>Symptoms</w:t>
      </w:r>
      <w:r>
        <w:rPr>
          <w:rFonts w:ascii="Arial" w:cs="Arial" w:eastAsia="Arial" w:hAnsi="Arial"/>
          <w:sz w:val="17"/>
          <w:szCs w:val="17"/>
          <w:color w:val="auto"/>
        </w:rPr>
        <w:t>”), (b) require tenant employees, agents, contractors and visitors to comply with reasonable screening and tracking protocols implemented by Landlord, Landlord’s property manager and/or any operator of Project Amenities, intended to identify and track the activity at the Project of individuals seeking access to or accessing the Premises or the Project (including the Project Amenities) exhibiting Symptoms, (c) require tenants to implement and enforce protocols to prohibit individuals exhibiting Symptoms, from accessing the Premises and/or the Project, (d) require tenants to immediately report to Landlord incidences of (i) tenant employees, agents, contractors and visitors accessing the Premises or any portion of the Project while exhibiting Symptoms, and/or (ii) tenant employees, agents, contractors and visitors known to have accessed the Premises or the Project being diagnosed with an Infectious Condition including, without limitation, COVID-19.</w:t>
      </w:r>
    </w:p>
    <w:p>
      <w:pPr>
        <w:spacing w:after="0" w:line="77" w:lineRule="exact"/>
        <w:rPr>
          <w:rFonts w:ascii="Arial" w:cs="Arial" w:eastAsia="Arial" w:hAnsi="Arial"/>
          <w:sz w:val="17"/>
          <w:szCs w:val="17"/>
          <w:color w:val="auto"/>
        </w:rPr>
      </w:pPr>
    </w:p>
    <w:p>
      <w:pPr>
        <w:ind w:left="3" w:right="320" w:hanging="3"/>
        <w:spacing w:after="0" w:line="261" w:lineRule="auto"/>
        <w:tabs>
          <w:tab w:leader="none" w:pos="27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Landlord may exclude or expel from the Project any person that has Symptoms associated with any currently known or unknown Infectious Condition including, without limitation, COVID-19.</w:t>
      </w:r>
    </w:p>
    <w:p>
      <w:pPr>
        <w:spacing w:after="0" w:line="62" w:lineRule="exact"/>
        <w:rPr>
          <w:rFonts w:ascii="Arial" w:cs="Arial" w:eastAsia="Arial" w:hAnsi="Arial"/>
          <w:sz w:val="18"/>
          <w:szCs w:val="18"/>
          <w:color w:val="auto"/>
        </w:rPr>
      </w:pPr>
    </w:p>
    <w:p>
      <w:pPr>
        <w:ind w:left="3" w:right="280" w:hanging="3"/>
        <w:spacing w:after="0" w:line="279" w:lineRule="auto"/>
        <w:tabs>
          <w:tab w:leader="none" w:pos="27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if, at any time during the Term, Landlord becomes aware that any Tenant Party exhibiting Symptoms and/or diagnosed with an Infectious Condition had access to the Premises or any portion of the Project (including, without limitation, the Project Amenities), Tenant shall be responsible for any costs incurred by Landlord to perform additional or deep cleaning of the Premises and/or the Common Areas of the Project or to take other measures deemed reasonably necessary or prudent by Landlord which are intended to limit the spread of such Infectious Condition due to such Tenant Party’s presence at the Project.</w:t>
      </w:r>
    </w:p>
    <w:p>
      <w:pPr>
        <w:spacing w:after="0" w:line="51" w:lineRule="exact"/>
        <w:rPr>
          <w:rFonts w:ascii="Arial" w:cs="Arial" w:eastAsia="Arial" w:hAnsi="Arial"/>
          <w:sz w:val="16"/>
          <w:szCs w:val="16"/>
          <w:color w:val="auto"/>
        </w:rPr>
      </w:pPr>
    </w:p>
    <w:p>
      <w:pPr>
        <w:ind w:left="263" w:hanging="263"/>
        <w:spacing w:after="0"/>
        <w:tabs>
          <w:tab w:leader="none" w:pos="26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Landlord reserves the right to implement additional rules and regulations relating to access to the Premises, the Building and/or the Project</w:t>
      </w:r>
    </w:p>
    <w:p>
      <w:pPr>
        <w:spacing w:after="0" w:line="34" w:lineRule="exact"/>
        <w:rPr>
          <w:rFonts w:ascii="Arial" w:cs="Arial" w:eastAsia="Arial" w:hAnsi="Arial"/>
          <w:sz w:val="16"/>
          <w:szCs w:val="16"/>
          <w:color w:val="auto"/>
        </w:rPr>
      </w:pPr>
    </w:p>
    <w:p>
      <w:pPr>
        <w:ind w:left="3" w:right="140"/>
        <w:spacing w:after="0" w:line="243" w:lineRule="auto"/>
        <w:rPr>
          <w:rFonts w:ascii="Arial" w:cs="Arial" w:eastAsia="Arial" w:hAnsi="Arial"/>
          <w:sz w:val="16"/>
          <w:szCs w:val="16"/>
          <w:color w:val="auto"/>
        </w:rPr>
      </w:pPr>
      <w:r>
        <w:rPr>
          <w:rFonts w:ascii="Arial" w:cs="Arial" w:eastAsia="Arial" w:hAnsi="Arial"/>
          <w:sz w:val="18"/>
          <w:szCs w:val="18"/>
          <w:color w:val="auto"/>
        </w:rPr>
        <w:t>(including, without limitation, the Project Amenities) which are intended to promote and protect health and physical well-being and/or intended to limit the spread of Infectious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431800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37" w:top="436" w:right="399" w:bottom="1440" w:gutter="0" w:footer="0" w:header="0"/>
        </w:sectPr>
      </w:pPr>
    </w:p>
    <w:bookmarkStart w:id="200" w:name="page201"/>
    <w:bookmarkEnd w:id="200"/>
    <w:p>
      <w:pPr>
        <w:jc w:val="center"/>
        <w:ind w:right="-1100"/>
        <w:spacing w:after="0"/>
        <w:rPr>
          <w:sz w:val="20"/>
          <w:szCs w:val="20"/>
          <w:color w:val="auto"/>
        </w:rPr>
      </w:pPr>
      <w:r>
        <w:rPr>
          <w:rFonts w:ascii="Arial" w:cs="Arial" w:eastAsia="Arial" w:hAnsi="Arial"/>
          <w:sz w:val="18"/>
          <w:szCs w:val="18"/>
          <w:b w:val="1"/>
          <w:bCs w:val="1"/>
          <w:color w:val="auto"/>
        </w:rPr>
        <w:t>EXHIBIT F TO LEASE</w:t>
      </w:r>
    </w:p>
    <w:p>
      <w:pPr>
        <w:spacing w:after="0" w:line="19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TENANT’S PERSONAL PROPERTY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696595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24" w:right="1440"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21.1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7580" w:type="dxa"/>
            <w:vAlign w:val="bottom"/>
            <w:gridSpan w:val="3"/>
          </w:tcPr>
          <w:p>
            <w:pPr>
              <w:jc w:val="center"/>
              <w:ind w:right="3530"/>
              <w:spacing w:after="0"/>
              <w:rPr>
                <w:sz w:val="20"/>
                <w:szCs w:val="20"/>
                <w:color w:val="auto"/>
              </w:rPr>
            </w:pPr>
            <w:r>
              <w:rPr>
                <w:rFonts w:ascii="Arial" w:cs="Arial" w:eastAsia="Arial" w:hAnsi="Arial"/>
                <w:sz w:val="18"/>
                <w:szCs w:val="18"/>
                <w:b w:val="1"/>
                <w:bCs w:val="1"/>
                <w:color w:val="auto"/>
                <w:w w:val="89"/>
              </w:rPr>
              <w:t>List of Significant Subsidiaries of</w:t>
            </w:r>
          </w:p>
        </w:tc>
        <w:tc>
          <w:tcPr>
            <w:tcW w:w="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7580" w:type="dxa"/>
            <w:vAlign w:val="bottom"/>
            <w:gridSpan w:val="3"/>
          </w:tcPr>
          <w:p>
            <w:pPr>
              <w:jc w:val="center"/>
              <w:ind w:right="3530"/>
              <w:spacing w:after="0"/>
              <w:rPr>
                <w:sz w:val="20"/>
                <w:szCs w:val="20"/>
                <w:color w:val="auto"/>
              </w:rPr>
            </w:pPr>
            <w:r>
              <w:rPr>
                <w:rFonts w:ascii="Arial" w:cs="Arial" w:eastAsia="Arial" w:hAnsi="Arial"/>
                <w:sz w:val="18"/>
                <w:szCs w:val="18"/>
                <w:b w:val="1"/>
                <w:bCs w:val="1"/>
                <w:color w:val="auto"/>
                <w:w w:val="90"/>
              </w:rPr>
              <w:t>Aligos Therapeutics, Inc.</w:t>
            </w:r>
          </w:p>
        </w:tc>
        <w:tc>
          <w:tcPr>
            <w:tcW w:w="20" w:type="dxa"/>
            <w:vAlign w:val="bottom"/>
          </w:tcPr>
          <w:p>
            <w:pPr>
              <w:spacing w:after="0"/>
              <w:rPr>
                <w:sz w:val="20"/>
                <w:szCs w:val="20"/>
                <w:color w:val="auto"/>
              </w:rPr>
            </w:pPr>
          </w:p>
        </w:tc>
      </w:tr>
      <w:tr>
        <w:trPr>
          <w:trHeight w:val="553"/>
        </w:trPr>
        <w:tc>
          <w:tcPr>
            <w:tcW w:w="20" w:type="dxa"/>
            <w:vAlign w:val="bottom"/>
          </w:tcPr>
          <w:p>
            <w:pPr>
              <w:spacing w:after="0"/>
              <w:rPr>
                <w:sz w:val="24"/>
                <w:szCs w:val="24"/>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0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Jurisdiction of Incorporation or Organization</w:t>
            </w:r>
          </w:p>
        </w:tc>
        <w:tc>
          <w:tcPr>
            <w:tcW w:w="20" w:type="dxa"/>
            <w:vAlign w:val="bottom"/>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3620" w:type="dxa"/>
            <w:vAlign w:val="bottom"/>
          </w:tcPr>
          <w:p>
            <w:pPr>
              <w:spacing w:after="0" w:line="168" w:lineRule="exact"/>
              <w:rPr>
                <w:sz w:val="20"/>
                <w:szCs w:val="20"/>
                <w:color w:val="auto"/>
              </w:rPr>
            </w:pPr>
            <w:r>
              <w:rPr>
                <w:rFonts w:ascii="Arial" w:cs="Arial" w:eastAsia="Arial" w:hAnsi="Arial"/>
                <w:sz w:val="18"/>
                <w:szCs w:val="18"/>
                <w:color w:val="auto"/>
              </w:rPr>
              <w:t>Aligos Belgium BV</w:t>
            </w: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360" w:type="dxa"/>
            <w:vAlign w:val="bottom"/>
          </w:tcPr>
          <w:p>
            <w:pPr>
              <w:spacing w:after="0" w:line="168" w:lineRule="exact"/>
              <w:rPr>
                <w:sz w:val="20"/>
                <w:szCs w:val="20"/>
                <w:color w:val="auto"/>
              </w:rPr>
            </w:pPr>
            <w:r>
              <w:rPr>
                <w:rFonts w:ascii="Arial" w:cs="Arial" w:eastAsia="Arial" w:hAnsi="Arial"/>
                <w:sz w:val="18"/>
                <w:szCs w:val="18"/>
                <w:color w:val="auto"/>
              </w:rPr>
              <w:t>Belgium</w:t>
            </w:r>
          </w:p>
        </w:tc>
        <w:tc>
          <w:tcPr>
            <w:tcW w:w="2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Aligos Australia Pty LTD</w:t>
            </w:r>
          </w:p>
        </w:tc>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60" w:type="dxa"/>
            <w:vAlign w:val="bottom"/>
          </w:tcPr>
          <w:p>
            <w:pPr>
              <w:spacing w:after="0" w:line="189" w:lineRule="exact"/>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Aligos Therapeutics (Shanghai) Co. Ltd.</w:t>
            </w: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0"/>
                <w:szCs w:val="20"/>
                <w:color w:val="auto"/>
              </w:rPr>
            </w:pPr>
          </w:p>
        </w:tc>
      </w:tr>
      <w:tr>
        <w:trPr>
          <w:trHeight w:val="304"/>
        </w:trPr>
        <w:tc>
          <w:tcPr>
            <w:tcW w:w="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98" w:lineRule="exact"/>
        <w:rPr>
          <w:sz w:val="20"/>
          <w:szCs w:val="20"/>
          <w:color w:val="auto"/>
        </w:rPr>
      </w:pPr>
    </w:p>
    <w:p>
      <w:pPr>
        <w:ind w:right="220" w:firstLine="8"/>
        <w:spacing w:after="0" w:line="261" w:lineRule="auto"/>
        <w:tabs>
          <w:tab w:leader="none" w:pos="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Registration Statement (Form S-8 No. 333- 249568) pertaining to the Aligos Therapeutics, Inc. 2018 Equity Incentive Plan, 2020 Incentive Award Plan and 2020 Employee Stock Purchase Plan,</w:t>
      </w:r>
    </w:p>
    <w:p>
      <w:pPr>
        <w:spacing w:after="0" w:line="157" w:lineRule="exact"/>
        <w:rPr>
          <w:rFonts w:ascii="Arial" w:cs="Arial" w:eastAsia="Arial" w:hAnsi="Arial"/>
          <w:sz w:val="18"/>
          <w:szCs w:val="18"/>
          <w:color w:val="auto"/>
        </w:rPr>
      </w:pPr>
    </w:p>
    <w:p>
      <w:pPr>
        <w:ind w:right="420" w:firstLine="8"/>
        <w:spacing w:after="0" w:line="261" w:lineRule="auto"/>
        <w:tabs>
          <w:tab w:leader="none" w:pos="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Registration Statement (Form S-8 No. 333- 254628) pertaining to the Aligos Therapeutics, Inc. 2020 Incentive Award Plan and 2020 Employee Stock Purchase Plan, and</w:t>
      </w:r>
    </w:p>
    <w:p>
      <w:pPr>
        <w:spacing w:after="0" w:line="157" w:lineRule="exact"/>
        <w:rPr>
          <w:rFonts w:ascii="Arial" w:cs="Arial" w:eastAsia="Arial" w:hAnsi="Arial"/>
          <w:sz w:val="18"/>
          <w:szCs w:val="18"/>
          <w:color w:val="auto"/>
        </w:rPr>
      </w:pPr>
    </w:p>
    <w:p>
      <w:pPr>
        <w:ind w:left="480" w:hanging="472"/>
        <w:spacing w:after="0"/>
        <w:tabs>
          <w:tab w:leader="none" w:pos="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Registration Statement (Form S-3 No. 333- 260774) of Aligos Therapeutics, Inc.;</w:t>
      </w:r>
    </w:p>
    <w:p>
      <w:pPr>
        <w:spacing w:after="0" w:line="30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of our report dated March 10, 2022, with respect to the consolidated financial statements of Aligos Therapeutics, Inc. included in this Annual Report (Form 10-K) of Aligos Therapeutics, Inc. for the year ended December 31, 2021.</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March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Lawrence M. Blatt, Ph.D., certify that:</w:t>
      </w:r>
    </w:p>
    <w:p>
      <w:pPr>
        <w:spacing w:after="0" w:line="212" w:lineRule="exact"/>
        <w:rPr>
          <w:sz w:val="20"/>
          <w:szCs w:val="20"/>
          <w:color w:val="auto"/>
        </w:rPr>
      </w:pPr>
    </w:p>
    <w:p>
      <w:pPr>
        <w:ind w:left="520" w:hanging="512"/>
        <w:spacing w:after="0"/>
        <w:tabs>
          <w:tab w:leader="none" w:pos="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Aligos Therapeutics,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vMerge w:val="restart"/>
          </w:tcPr>
          <w:p>
            <w:pPr>
              <w:ind w:left="2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6"/>
                <w:szCs w:val="16"/>
                <w:color w:val="auto"/>
              </w:rPr>
              <w:t>March 10, 2022</w:t>
            </w:r>
          </w:p>
        </w:tc>
        <w:tc>
          <w:tcPr>
            <w:tcW w:w="7740" w:type="dxa"/>
            <w:vAlign w:val="bottom"/>
            <w:gridSpan w:val="2"/>
          </w:tcPr>
          <w:p>
            <w:pPr>
              <w:ind w:left="202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03"/>
        </w:trPr>
        <w:tc>
          <w:tcPr>
            <w:tcW w:w="3500" w:type="dxa"/>
            <w:vAlign w:val="bottom"/>
            <w:vMerge w:val="continue"/>
          </w:tcPr>
          <w:p>
            <w:pPr>
              <w:spacing w:after="0"/>
              <w:rPr>
                <w:sz w:val="17"/>
                <w:szCs w:val="17"/>
                <w:color w:val="auto"/>
              </w:rPr>
            </w:pPr>
          </w:p>
        </w:tc>
        <w:tc>
          <w:tcPr>
            <w:tcW w:w="2440" w:type="dxa"/>
            <w:vAlign w:val="bottom"/>
          </w:tcPr>
          <w:p>
            <w:pPr>
              <w:spacing w:after="0"/>
              <w:rPr>
                <w:sz w:val="17"/>
                <w:szCs w:val="17"/>
                <w:color w:val="auto"/>
              </w:rPr>
            </w:pPr>
          </w:p>
        </w:tc>
        <w:tc>
          <w:tcPr>
            <w:tcW w:w="53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2"/>
              </w:rPr>
              <w:t>/s/ Lawrence M. Blatt</w:t>
            </w:r>
          </w:p>
        </w:tc>
        <w:tc>
          <w:tcPr>
            <w:tcW w:w="0" w:type="dxa"/>
            <w:vAlign w:val="bottom"/>
          </w:tcPr>
          <w:p>
            <w:pPr>
              <w:spacing w:after="0"/>
              <w:rPr>
                <w:sz w:val="1"/>
                <w:szCs w:val="1"/>
                <w:color w:val="auto"/>
              </w:rPr>
            </w:pPr>
          </w:p>
        </w:tc>
      </w:tr>
      <w:tr>
        <w:trPr>
          <w:trHeight w:val="224"/>
        </w:trPr>
        <w:tc>
          <w:tcPr>
            <w:tcW w:w="35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3"/>
              </w:rPr>
              <w:t>Lawrence M. Blatt, Ph.D.</w:t>
            </w:r>
          </w:p>
        </w:tc>
        <w:tc>
          <w:tcPr>
            <w:tcW w:w="0" w:type="dxa"/>
            <w:vAlign w:val="bottom"/>
          </w:tcPr>
          <w:p>
            <w:pPr>
              <w:spacing w:after="0"/>
              <w:rPr>
                <w:sz w:val="1"/>
                <w:szCs w:val="1"/>
                <w:color w:val="auto"/>
              </w:rPr>
            </w:pPr>
          </w:p>
        </w:tc>
      </w:tr>
      <w:tr>
        <w:trPr>
          <w:trHeight w:val="283"/>
        </w:trPr>
        <w:tc>
          <w:tcPr>
            <w:tcW w:w="35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506"/>
        </w:trPr>
        <w:tc>
          <w:tcPr>
            <w:tcW w:w="35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Lesley Ann Calhoun, certify that:</w:t>
      </w:r>
    </w:p>
    <w:p>
      <w:pPr>
        <w:spacing w:after="0" w:line="212" w:lineRule="exact"/>
        <w:rPr>
          <w:sz w:val="20"/>
          <w:szCs w:val="20"/>
          <w:color w:val="auto"/>
        </w:rPr>
      </w:pPr>
    </w:p>
    <w:p>
      <w:pPr>
        <w:ind w:left="520" w:hanging="512"/>
        <w:spacing w:after="0"/>
        <w:tabs>
          <w:tab w:leader="none" w:pos="5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Aligos Therapeutics,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00" w:type="dxa"/>
            <w:vAlign w:val="bottom"/>
          </w:tcPr>
          <w:p>
            <w:pPr>
              <w:ind w:left="8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6"/>
                <w:szCs w:val="16"/>
                <w:color w:val="auto"/>
              </w:rPr>
              <w:t>March 10, 2022</w:t>
            </w:r>
          </w:p>
        </w:tc>
        <w:tc>
          <w:tcPr>
            <w:tcW w:w="2380" w:type="dxa"/>
            <w:vAlign w:val="bottom"/>
          </w:tcPr>
          <w:p>
            <w:pPr>
              <w:ind w:left="1940"/>
              <w:spacing w:after="0"/>
              <w:rPr>
                <w:sz w:val="20"/>
                <w:szCs w:val="20"/>
                <w:color w:val="auto"/>
              </w:rPr>
            </w:pPr>
            <w:r>
              <w:rPr>
                <w:rFonts w:ascii="Arial" w:cs="Arial" w:eastAsia="Arial" w:hAnsi="Arial"/>
                <w:sz w:val="18"/>
                <w:szCs w:val="18"/>
                <w:color w:val="auto"/>
              </w:rPr>
              <w:t>By:</w:t>
            </w: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Lesley Ann Calhoun</w:t>
            </w:r>
          </w:p>
        </w:tc>
        <w:tc>
          <w:tcPr>
            <w:tcW w:w="60" w:type="dxa"/>
            <w:vAlign w:val="bottom"/>
          </w:tcPr>
          <w:p>
            <w:pPr>
              <w:spacing w:after="0"/>
              <w:rPr>
                <w:sz w:val="18"/>
                <w:szCs w:val="18"/>
                <w:color w:val="auto"/>
              </w:rPr>
            </w:pPr>
          </w:p>
        </w:tc>
      </w:tr>
      <w:tr>
        <w:trPr>
          <w:trHeight w:val="209"/>
        </w:trPr>
        <w:tc>
          <w:tcPr>
            <w:tcW w:w="35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3"/>
              </w:rPr>
              <w:t>Lesley Ann Calhoun</w:t>
            </w:r>
          </w:p>
        </w:tc>
        <w:tc>
          <w:tcPr>
            <w:tcW w:w="60" w:type="dxa"/>
            <w:vAlign w:val="bottom"/>
          </w:tcPr>
          <w:p>
            <w:pPr>
              <w:spacing w:after="0"/>
              <w:rPr>
                <w:sz w:val="18"/>
                <w:szCs w:val="18"/>
                <w:color w:val="auto"/>
              </w:rPr>
            </w:pPr>
          </w:p>
        </w:tc>
      </w:tr>
      <w:tr>
        <w:trPr>
          <w:trHeight w:val="230"/>
        </w:trPr>
        <w:tc>
          <w:tcPr>
            <w:tcW w:w="35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2"/>
              </w:rPr>
              <w:t>Executive Vice President, Chief Financial Officer</w:t>
            </w:r>
          </w:p>
        </w:tc>
        <w:tc>
          <w:tcPr>
            <w:tcW w:w="60" w:type="dxa"/>
            <w:vAlign w:val="bottom"/>
          </w:tcPr>
          <w:p>
            <w:pPr>
              <w:spacing w:after="0"/>
              <w:rPr>
                <w:sz w:val="19"/>
                <w:szCs w:val="19"/>
                <w:color w:val="auto"/>
              </w:rPr>
            </w:pPr>
          </w:p>
        </w:tc>
      </w:tr>
      <w:tr>
        <w:trPr>
          <w:trHeight w:val="230"/>
        </w:trPr>
        <w:tc>
          <w:tcPr>
            <w:tcW w:w="35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c>
          <w:tcPr>
            <w:tcW w:w="60" w:type="dxa"/>
            <w:vAlign w:val="bottom"/>
          </w:tcPr>
          <w:p>
            <w:pPr>
              <w:spacing w:after="0"/>
              <w:rPr>
                <w:sz w:val="20"/>
                <w:szCs w:val="20"/>
                <w:color w:val="auto"/>
              </w:rPr>
            </w:pPr>
          </w:p>
        </w:tc>
      </w:tr>
      <w:tr>
        <w:trPr>
          <w:trHeight w:val="506"/>
        </w:trPr>
        <w:tc>
          <w:tcPr>
            <w:tcW w:w="35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In connection with the Annual Report of Aligos Therapeutics, Inc. (the “Company”) on Form 10-K for the period ended December 31, 2021 as filed with the Securities and Exchange Commission on the date hereof (the “Report”), I certify, pursuant to 18 U.S.C. § 1350, as adopted pursuant to § 906 of the Sarbanes-Oxley Act of 2002, that:</w:t>
      </w:r>
    </w:p>
    <w:p>
      <w:pPr>
        <w:spacing w:after="0" w:line="141" w:lineRule="exact"/>
        <w:rPr>
          <w:sz w:val="20"/>
          <w:szCs w:val="20"/>
          <w:color w:val="auto"/>
        </w:rPr>
      </w:pPr>
    </w:p>
    <w:p>
      <w:pPr>
        <w:ind w:left="760" w:hanging="378"/>
        <w:spacing w:after="0"/>
        <w:tabs>
          <w:tab w:leader="none" w:pos="7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6"/>
          <w:szCs w:val="16"/>
          <w:color w:val="auto"/>
        </w:rPr>
        <w:t>March 10, 2022</w:t>
      </w:r>
    </w:p>
    <w:p>
      <w:pPr>
        <w:spacing w:after="0" w:line="12" w:lineRule="exact"/>
        <w:rPr>
          <w:sz w:val="20"/>
          <w:szCs w:val="20"/>
          <w:color w:val="auto"/>
        </w:rPr>
      </w:pPr>
    </w:p>
    <w:p>
      <w:pPr>
        <w:ind w:left="6980"/>
        <w:spacing w:after="0"/>
        <w:tabs>
          <w:tab w:leader="none" w:pos="8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M.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-3175</wp:posOffset>
            </wp:positionV>
            <wp:extent cx="228028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5">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jc w:val="center"/>
        <w:ind w:left="7620"/>
        <w:spacing w:after="0"/>
        <w:rPr>
          <w:sz w:val="20"/>
          <w:szCs w:val="20"/>
          <w:color w:val="auto"/>
        </w:rPr>
      </w:pPr>
      <w:r>
        <w:rPr>
          <w:rFonts w:ascii="Arial" w:cs="Arial" w:eastAsia="Arial" w:hAnsi="Arial"/>
          <w:sz w:val="18"/>
          <w:szCs w:val="18"/>
          <w:color w:val="auto"/>
        </w:rPr>
        <w:t>Lawrence M. Blatt, Ph.D.</w:t>
      </w:r>
    </w:p>
    <w:p>
      <w:pPr>
        <w:jc w:val="center"/>
        <w:ind w:left="762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jc w:val="center"/>
        <w:ind w:left="7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In connection with the Annual Report of Aligos Therapeutics, Inc. (the “Company”) on Form 10-K for the period ended December 31, 2021 as filed with the Securities and Exchange Commission on the date hereof (the “Report”), I certify, pursuant to 18 U.S.C. § 1350, as adopted pursuant to § 906 of the Sarbanes-Oxley Act of 2002, that:</w:t>
      </w:r>
    </w:p>
    <w:p>
      <w:pPr>
        <w:spacing w:after="0" w:line="168" w:lineRule="exact"/>
        <w:rPr>
          <w:sz w:val="20"/>
          <w:szCs w:val="20"/>
          <w:color w:val="auto"/>
        </w:rPr>
      </w:pPr>
    </w:p>
    <w:p>
      <w:pPr>
        <w:ind w:left="760" w:hanging="378"/>
        <w:spacing w:after="0"/>
        <w:tabs>
          <w:tab w:leader="none" w:pos="7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760" w:hanging="378"/>
        <w:spacing w:after="0"/>
        <w:tabs>
          <w:tab w:leader="none" w:pos="7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6"/>
          <w:szCs w:val="16"/>
          <w:color w:val="auto"/>
        </w:rPr>
        <w:t>March 10, 2022</w:t>
      </w:r>
    </w:p>
    <w:p>
      <w:pPr>
        <w:spacing w:after="0" w:line="12" w:lineRule="exact"/>
        <w:rPr>
          <w:sz w:val="20"/>
          <w:szCs w:val="20"/>
          <w:color w:val="auto"/>
        </w:rPr>
      </w:pPr>
    </w:p>
    <w:p>
      <w:pPr>
        <w:ind w:left="7100"/>
        <w:spacing w:after="0"/>
        <w:tabs>
          <w:tab w:leader="none" w:pos="8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-3175</wp:posOffset>
            </wp:positionV>
            <wp:extent cx="228028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7">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ind w:left="8700"/>
        <w:spacing w:after="0"/>
        <w:rPr>
          <w:sz w:val="20"/>
          <w:szCs w:val="20"/>
          <w:color w:val="auto"/>
        </w:rPr>
      </w:pPr>
      <w:r>
        <w:rPr>
          <w:rFonts w:ascii="Arial" w:cs="Arial" w:eastAsia="Arial" w:hAnsi="Arial"/>
          <w:sz w:val="18"/>
          <w:szCs w:val="18"/>
          <w:color w:val="auto"/>
        </w:rPr>
        <w:t>Lesley Ann Calhoun</w:t>
      </w:r>
    </w:p>
    <w:p>
      <w:pPr>
        <w:ind w:left="7920"/>
        <w:spacing w:after="0" w:line="203" w:lineRule="auto"/>
        <w:rPr>
          <w:sz w:val="20"/>
          <w:szCs w:val="20"/>
          <w:color w:val="auto"/>
        </w:rPr>
      </w:pPr>
      <w:r>
        <w:rPr>
          <w:rFonts w:ascii="Arial" w:cs="Arial" w:eastAsia="Arial" w:hAnsi="Arial"/>
          <w:sz w:val="18"/>
          <w:szCs w:val="18"/>
          <w:color w:val="auto"/>
        </w:rPr>
        <w:t>Executive Vice President, Chief Financial</w:t>
      </w:r>
    </w:p>
    <w:p>
      <w:pPr>
        <w:jc w:val="center"/>
        <w:ind w:left="7620"/>
        <w:spacing w:after="0" w:line="235" w:lineRule="auto"/>
        <w:rPr>
          <w:sz w:val="20"/>
          <w:szCs w:val="20"/>
          <w:color w:val="auto"/>
        </w:rPr>
      </w:pPr>
      <w:r>
        <w:rPr>
          <w:rFonts w:ascii="Arial" w:cs="Arial" w:eastAsia="Arial" w:hAnsi="Arial"/>
          <w:sz w:val="18"/>
          <w:szCs w:val="18"/>
          <w:color w:val="auto"/>
        </w:rPr>
        <w:t>Officer</w:t>
      </w:r>
    </w:p>
    <w:p>
      <w:pPr>
        <w:jc w:val="center"/>
        <w:ind w:left="76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7" w:name="page208"/>
    <w:bookmarkEnd w:id="20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1)"/>
      <w:numFmt w:val="lowerRoman"/>
      <w:start w:val="3"/>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
      <w:numFmt w:val="bullet"/>
      <w:start w:val="1"/>
    </w:lvl>
  </w:abstractNum>
  <w:abstractNum w:abstractNumId="35">
    <w:nsid w:val="7BD3EE7B"/>
    <w:multiLevelType w:val="hybridMultilevel"/>
    <w:lvl w:ilvl="0">
      <w:lvlJc w:val="left"/>
      <w:lvlText w:val="•"/>
      <w:numFmt w:val="bullet"/>
      <w:start w:val="1"/>
    </w:lvl>
  </w:abstractNum>
  <w:abstractNum w:abstractNumId="36">
    <w:nsid w:val="51D9C564"/>
    <w:multiLevelType w:val="hybridMultilevel"/>
    <w:lvl w:ilvl="0">
      <w:lvlJc w:val="left"/>
      <w:lvlText w:val="•"/>
      <w:numFmt w:val="bullet"/>
      <w:start w:val="1"/>
    </w:lvl>
  </w:abstractNum>
  <w:abstractNum w:abstractNumId="37">
    <w:nsid w:val="613EFDC5"/>
    <w:multiLevelType w:val="hybridMultilevel"/>
    <w:lvl w:ilvl="0">
      <w:lvlJc w:val="left"/>
      <w:lvlText w:val="•"/>
      <w:numFmt w:val="bullet"/>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
      <w:numFmt w:val="bullet"/>
      <w:start w:val="1"/>
    </w:lvl>
  </w:abstractNum>
  <w:abstractNum w:abstractNumId="42">
    <w:nsid w:val="8F2B15E"/>
    <w:multiLevelType w:val="hybridMultilevel"/>
    <w:lvl w:ilvl="0">
      <w:lvlJc w:val="left"/>
      <w:lvlText w:val="•"/>
      <w:numFmt w:val="bullet"/>
      <w:start w:val="1"/>
    </w:lvl>
  </w:abstractNum>
  <w:abstractNum w:abstractNumId="43">
    <w:nsid w:val="1A32234B"/>
    <w:multiLevelType w:val="hybridMultilevel"/>
    <w:lvl w:ilvl="0">
      <w:lvlJc w:val="left"/>
      <w:lvlText w:val="•"/>
      <w:numFmt w:val="bullet"/>
      <w:start w:val="1"/>
    </w:lvl>
  </w:abstractNum>
  <w:abstractNum w:abstractNumId="44">
    <w:nsid w:val="3B0FD379"/>
    <w:multiLevelType w:val="hybridMultilevel"/>
    <w:lvl w:ilvl="0">
      <w:lvlJc w:val="left"/>
      <w:lvlText w:val="•"/>
      <w:numFmt w:val="bullet"/>
      <w:start w:val="1"/>
    </w:lvl>
  </w:abstractNum>
  <w:abstractNum w:abstractNumId="45">
    <w:nsid w:val="68EB2F63"/>
    <w:multiLevelType w:val="hybridMultilevel"/>
    <w:lvl w:ilvl="0">
      <w:lvlJc w:val="left"/>
      <w:lvlText w:val="•"/>
      <w:numFmt w:val="bullet"/>
      <w:start w:val="1"/>
    </w:lvl>
  </w:abstractNum>
  <w:abstractNum w:abstractNumId="46">
    <w:nsid w:val="4962813B"/>
    <w:multiLevelType w:val="hybridMultilevel"/>
    <w:lvl w:ilvl="0">
      <w:lvlJc w:val="left"/>
      <w:lvlText w:val="•"/>
      <w:numFmt w:val="bullet"/>
      <w:start w:val="1"/>
    </w:lvl>
  </w:abstractNum>
  <w:abstractNum w:abstractNumId="47">
    <w:nsid w:val="60B6DF70"/>
    <w:multiLevelType w:val="hybridMultilevel"/>
    <w:lvl w:ilvl="0">
      <w:lvlJc w:val="left"/>
      <w:lvlText w:val="•"/>
      <w:numFmt w:val="bullet"/>
      <w:start w:val="1"/>
    </w:lvl>
  </w:abstractNum>
  <w:abstractNum w:abstractNumId="48">
    <w:nsid w:val="6A5EE64"/>
    <w:multiLevelType w:val="hybridMultilevel"/>
    <w:lvl w:ilvl="0">
      <w:lvlJc w:val="left"/>
      <w:lvlText w:val="•"/>
      <w:numFmt w:val="bullet"/>
      <w:start w:val="1"/>
    </w:lvl>
  </w:abstractNum>
  <w:abstractNum w:abstractNumId="49">
    <w:nsid w:val="14330624"/>
    <w:multiLevelType w:val="hybridMultilevel"/>
    <w:lvl w:ilvl="0">
      <w:lvlJc w:val="left"/>
      <w:lvlText w:val="•"/>
      <w:numFmt w:val="bullet"/>
      <w:start w:val="1"/>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
      <w:numFmt w:val="bullet"/>
      <w:start w:val="1"/>
    </w:lvl>
  </w:abstractNum>
  <w:abstractNum w:abstractNumId="52">
    <w:nsid w:val="71EA1109"/>
    <w:multiLevelType w:val="hybridMultilevel"/>
    <w:lvl w:ilvl="0">
      <w:lvlJc w:val="left"/>
      <w:lvlText w:val="•"/>
      <w:numFmt w:val="bullet"/>
      <w:start w:val="1"/>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
      <w:numFmt w:val="bullet"/>
      <w:start w:val="1"/>
    </w:lvl>
  </w:abstractNum>
  <w:abstractNum w:abstractNumId="55">
    <w:nsid w:val="6EB5BD4"/>
    <w:multiLevelType w:val="hybridMultilevel"/>
    <w:lvl w:ilvl="0">
      <w:lvlJc w:val="left"/>
      <w:lvlText w:val="•"/>
      <w:numFmt w:val="bullet"/>
      <w:start w:val="1"/>
    </w:lvl>
  </w:abstractNum>
  <w:abstractNum w:abstractNumId="56">
    <w:nsid w:val="6F6DD9AC"/>
    <w:multiLevelType w:val="hybridMultilevel"/>
    <w:lvl w:ilvl="0">
      <w:lvlJc w:val="left"/>
      <w:lvlText w:val="•"/>
      <w:numFmt w:val="bullet"/>
      <w:start w:val="1"/>
    </w:lvl>
  </w:abstractNum>
  <w:abstractNum w:abstractNumId="57">
    <w:nsid w:val="94211F2"/>
    <w:multiLevelType w:val="hybridMultilevel"/>
    <w:lvl w:ilvl="0">
      <w:lvlJc w:val="left"/>
      <w:lvlText w:val="(%1)"/>
      <w:numFmt w:val="decimal"/>
      <w:start w:val="2"/>
    </w:lvl>
  </w:abstractNum>
  <w:abstractNum w:abstractNumId="58">
    <w:nsid w:val="885E1B"/>
    <w:multiLevelType w:val="hybridMultilevel"/>
    <w:lvl w:ilvl="0">
      <w:lvlJc w:val="left"/>
      <w:lvlText w:val="%1."/>
      <w:numFmt w:val="decimal"/>
      <w:start w:val="1"/>
    </w:lvl>
  </w:abstractNum>
  <w:abstractNum w:abstractNumId="59">
    <w:nsid w:val="76272110"/>
    <w:multiLevelType w:val="hybridMultilevel"/>
    <w:lvl w:ilvl="0">
      <w:lvlJc w:val="left"/>
      <w:lvlText w:val="%1."/>
      <w:numFmt w:val="decimal"/>
      <w:start w:val="7"/>
    </w:lvl>
  </w:abstractNum>
  <w:abstractNum w:abstractNumId="60">
    <w:nsid w:val="4C04A8AF"/>
    <w:multiLevelType w:val="hybridMultilevel"/>
    <w:lvl w:ilvl="0">
      <w:lvlJc w:val="left"/>
      <w:lvlText w:val="%1."/>
      <w:numFmt w:val="decimal"/>
      <w:start w:val="8"/>
    </w:lvl>
  </w:abstractNum>
  <w:abstractNum w:abstractNumId="61">
    <w:nsid w:val="1716703B"/>
    <w:multiLevelType w:val="hybridMultilevel"/>
    <w:lvl w:ilvl="0">
      <w:lvlJc w:val="left"/>
      <w:lvlText w:val="%1."/>
      <w:numFmt w:val="decimal"/>
      <w:start w:val="9"/>
    </w:lvl>
  </w:abstractNum>
  <w:abstractNum w:abstractNumId="62">
    <w:nsid w:val="14E17E33"/>
    <w:multiLevelType w:val="hybridMultilevel"/>
    <w:lvl w:ilvl="0">
      <w:lvlJc w:val="left"/>
      <w:lvlText w:val="%1."/>
      <w:numFmt w:val="decimal"/>
      <w:start w:val="11"/>
    </w:lvl>
  </w:abstractNum>
  <w:abstractNum w:abstractNumId="63">
    <w:nsid w:val="3222E7CD"/>
    <w:multiLevelType w:val="hybridMultilevel"/>
    <w:lvl w:ilvl="0">
      <w:lvlJc w:val="left"/>
      <w:lvlText w:val="(%1)"/>
      <w:numFmt w:val="lowerLetter"/>
      <w:start w:val="1"/>
    </w:lvl>
  </w:abstractNum>
  <w:abstractNum w:abstractNumId="64">
    <w:nsid w:val="74DE0EE3"/>
    <w:multiLevelType w:val="hybridMultilevel"/>
    <w:lvl w:ilvl="0">
      <w:lvlJc w:val="left"/>
      <w:lvlText w:val="%1."/>
      <w:numFmt w:val="decimal"/>
      <w:start w:val="1"/>
    </w:lvl>
  </w:abstractNum>
  <w:abstractNum w:abstractNumId="65">
    <w:nsid w:val="68EBC550"/>
    <w:multiLevelType w:val="hybridMultilevel"/>
    <w:lvl w:ilvl="0">
      <w:lvlJc w:val="left"/>
      <w:lvlText w:val="%1."/>
      <w:numFmt w:val="decimal"/>
      <w:start w:val="2"/>
    </w:lvl>
  </w:abstractNum>
  <w:abstractNum w:abstractNumId="66">
    <w:nsid w:val="2DF6D648"/>
    <w:multiLevelType w:val="hybridMultilevel"/>
    <w:lvl w:ilvl="0">
      <w:lvlJc w:val="left"/>
      <w:lvlText w:val="†"/>
      <w:numFmt w:val="bullet"/>
      <w:start w:val="1"/>
    </w:lvl>
  </w:abstractNum>
  <w:abstractNum w:abstractNumId="67">
    <w:nsid w:val="46B7D447"/>
    <w:multiLevelType w:val="hybridMultilevel"/>
    <w:lvl w:ilvl="0">
      <w:lvlJc w:val="left"/>
      <w:lvlText w:val="%1."/>
      <w:numFmt w:val="decimal"/>
      <w:start w:val="1"/>
    </w:lvl>
  </w:abstractNum>
  <w:abstractNum w:abstractNumId="68">
    <w:nsid w:val="4A2AC315"/>
    <w:multiLevelType w:val="hybridMultilevel"/>
    <w:lvl w:ilvl="0">
      <w:lvlJc w:val="left"/>
      <w:lvlText w:val="%1."/>
      <w:numFmt w:val="decimal"/>
      <w:start w:val="3"/>
    </w:lvl>
  </w:abstractNum>
  <w:abstractNum w:abstractNumId="69">
    <w:nsid w:val="39EE015C"/>
    <w:multiLevelType w:val="hybridMultilevel"/>
    <w:lvl w:ilvl="0">
      <w:lvlJc w:val="left"/>
      <w:lvlText w:val="%1."/>
      <w:numFmt w:val="decimal"/>
      <w:start w:val="4"/>
    </w:lvl>
  </w:abstractNum>
  <w:abstractNum w:abstractNumId="70">
    <w:nsid w:val="57FC4FBB"/>
    <w:multiLevelType w:val="hybridMultilevel"/>
    <w:lvl w:ilvl="0">
      <w:lvlJc w:val="left"/>
      <w:lvlText w:val="%1."/>
      <w:numFmt w:val="decimal"/>
      <w:start w:val="5"/>
    </w:lvl>
  </w:abstractNum>
  <w:abstractNum w:abstractNumId="71">
    <w:nsid w:val="CC1016F"/>
    <w:multiLevelType w:val="hybridMultilevel"/>
    <w:lvl w:ilvl="0">
      <w:lvlJc w:val="left"/>
      <w:lvlText w:val="%1."/>
      <w:numFmt w:val="decimal"/>
      <w:start w:val="6"/>
    </w:lvl>
  </w:abstractNum>
  <w:abstractNum w:abstractNumId="72">
    <w:nsid w:val="43F18422"/>
    <w:multiLevelType w:val="hybridMultilevel"/>
    <w:lvl w:ilvl="0">
      <w:lvlJc w:val="left"/>
      <w:lvlText w:val="%1."/>
      <w:numFmt w:val="decimal"/>
      <w:start w:val="7"/>
    </w:lvl>
  </w:abstractNum>
  <w:abstractNum w:abstractNumId="73">
    <w:nsid w:val="60EF0119"/>
    <w:multiLevelType w:val="hybridMultilevel"/>
    <w:lvl w:ilvl="0">
      <w:lvlJc w:val="left"/>
      <w:lvlText w:val="%1"/>
      <w:numFmt w:val="decimal"/>
      <w:start w:val="42"/>
    </w:lvl>
  </w:abstractNum>
  <w:abstractNum w:abstractNumId="74">
    <w:nsid w:val="26F324BA"/>
    <w:multiLevelType w:val="hybridMultilevel"/>
    <w:lvl w:ilvl="0">
      <w:lvlJc w:val="left"/>
      <w:lvlText w:val="%1."/>
      <w:numFmt w:val="decimal"/>
      <w:start w:val="8"/>
    </w:lvl>
  </w:abstractNum>
  <w:abstractNum w:abstractNumId="75">
    <w:nsid w:val="7F01579B"/>
    <w:multiLevelType w:val="hybridMultilevel"/>
    <w:lvl w:ilvl="0">
      <w:lvlJc w:val="left"/>
      <w:lvlText w:val="%1."/>
      <w:numFmt w:val="decimal"/>
      <w:start w:val="10"/>
    </w:lvl>
  </w:abstractNum>
  <w:abstractNum w:abstractNumId="76">
    <w:nsid w:val="49DA307D"/>
    <w:multiLevelType w:val="hybridMultilevel"/>
    <w:lvl w:ilvl="0">
      <w:lvlJc w:val="left"/>
      <w:lvlText w:val="%1."/>
      <w:numFmt w:val="decimal"/>
      <w:start w:val="12"/>
    </w:lvl>
  </w:abstractNum>
  <w:abstractNum w:abstractNumId="77">
    <w:nsid w:val="7055A5F5"/>
    <w:multiLevelType w:val="hybridMultilevel"/>
    <w:lvl w:ilvl="0">
      <w:lvlJc w:val="left"/>
      <w:lvlText w:val="%1."/>
      <w:numFmt w:val="decimal"/>
      <w:start w:val="13"/>
    </w:lvl>
  </w:abstractNum>
  <w:abstractNum w:abstractNumId="78">
    <w:nsid w:val="5FB8370B"/>
    <w:multiLevelType w:val="hybridMultilevel"/>
    <w:lvl w:ilvl="0">
      <w:lvlJc w:val="left"/>
      <w:lvlText w:val="%1."/>
      <w:numFmt w:val="decimal"/>
      <w:start w:val="15"/>
    </w:lvl>
  </w:abstractNum>
  <w:abstractNum w:abstractNumId="79">
    <w:nsid w:val="50801EE1"/>
    <w:multiLevelType w:val="hybridMultilevel"/>
    <w:lvl w:ilvl="0">
      <w:lvlJc w:val="left"/>
      <w:lvlText w:val="%1."/>
      <w:numFmt w:val="decimal"/>
      <w:start w:val="18"/>
    </w:lvl>
  </w:abstractNum>
  <w:abstractNum w:abstractNumId="80">
    <w:nsid w:val="488AC1A"/>
    <w:multiLevelType w:val="hybridMultilevel"/>
    <w:lvl w:ilvl="0">
      <w:lvlJc w:val="left"/>
      <w:lvlText w:val="%1."/>
      <w:numFmt w:val="decimal"/>
      <w:start w:val="19"/>
    </w:lvl>
  </w:abstractNum>
  <w:abstractNum w:abstractNumId="81">
    <w:nsid w:val="5FB8011C"/>
    <w:multiLevelType w:val="hybridMultilevel"/>
    <w:lvl w:ilvl="0">
      <w:lvlJc w:val="left"/>
      <w:lvlText w:val="%1."/>
      <w:numFmt w:val="decimal"/>
      <w:start w:val="21"/>
    </w:lvl>
  </w:abstractNum>
  <w:abstractNum w:abstractNumId="82">
    <w:nsid w:val="6AA78F7F"/>
    <w:multiLevelType w:val="hybridMultilevel"/>
    <w:lvl w:ilvl="0">
      <w:lvlJc w:val="left"/>
      <w:lvlText w:val="%1."/>
      <w:numFmt w:val="lowerRoman"/>
      <w:start w:val="2"/>
    </w:lvl>
  </w:abstractNum>
  <w:abstractNum w:abstractNumId="83">
    <w:nsid w:val="7672BD23"/>
    <w:multiLevelType w:val="hybridMultilevel"/>
    <w:lvl w:ilvl="0">
      <w:lvlJc w:val="left"/>
      <w:lvlText w:val="%1."/>
      <w:numFmt w:val="decimal"/>
      <w:start w:val="1"/>
    </w:lvl>
  </w:abstractNum>
  <w:abstractNum w:abstractNumId="84">
    <w:nsid w:val="6FC75AF8"/>
    <w:multiLevelType w:val="hybridMultilevel"/>
    <w:lvl w:ilvl="0">
      <w:lvlJc w:val="left"/>
      <w:lvlText w:val="%1."/>
      <w:numFmt w:val="lowerRoman"/>
      <w:start w:val="3"/>
    </w:lvl>
  </w:abstractNum>
  <w:abstractNum w:abstractNumId="85">
    <w:nsid w:val="6A5F7029"/>
    <w:multiLevelType w:val="hybridMultilevel"/>
    <w:lvl w:ilvl="0">
      <w:lvlJc w:val="left"/>
      <w:lvlText w:val="%1."/>
      <w:numFmt w:val="decimal"/>
      <w:start w:val="22"/>
    </w:lvl>
  </w:abstractNum>
  <w:abstractNum w:abstractNumId="86">
    <w:nsid w:val="7D5E18F8"/>
    <w:multiLevelType w:val="hybridMultilevel"/>
    <w:lvl w:ilvl="0">
      <w:lvlJc w:val="left"/>
      <w:lvlText w:val="(%1)"/>
      <w:numFmt w:val="lowerRoman"/>
      <w:start w:val="2"/>
    </w:lvl>
  </w:abstractNum>
  <w:abstractNum w:abstractNumId="87">
    <w:nsid w:val="5F3534A4"/>
    <w:multiLevelType w:val="hybridMultilevel"/>
    <w:lvl w:ilvl="0">
      <w:lvlJc w:val="left"/>
      <w:lvlText w:val="%1."/>
      <w:numFmt w:val="decimal"/>
      <w:start w:val="23"/>
    </w:lvl>
  </w:abstractNum>
  <w:abstractNum w:abstractNumId="88">
    <w:nsid w:val="73A1821B"/>
    <w:multiLevelType w:val="hybridMultilevel"/>
    <w:lvl w:ilvl="0">
      <w:lvlJc w:val="left"/>
      <w:lvlText w:val="%1."/>
      <w:numFmt w:val="decimal"/>
      <w:start w:val="28"/>
    </w:lvl>
  </w:abstractNum>
  <w:abstractNum w:abstractNumId="89">
    <w:nsid w:val="7DE67713"/>
    <w:multiLevelType w:val="hybridMultilevel"/>
    <w:lvl w:ilvl="0">
      <w:lvlJc w:val="left"/>
      <w:lvlText w:val="%1."/>
      <w:numFmt w:val="decimal"/>
      <w:start w:val="29"/>
    </w:lvl>
  </w:abstractNum>
  <w:abstractNum w:abstractNumId="90">
    <w:nsid w:val="555C55B5"/>
    <w:multiLevelType w:val="hybridMultilevel"/>
    <w:lvl w:ilvl="0">
      <w:lvlJc w:val="left"/>
      <w:lvlText w:val="(%1)"/>
      <w:numFmt w:val="lowerRoman"/>
      <w:start w:val="2"/>
    </w:lvl>
  </w:abstractNum>
  <w:abstractNum w:abstractNumId="91">
    <w:nsid w:val="3FA62ACA"/>
    <w:multiLevelType w:val="hybridMultilevel"/>
    <w:lvl w:ilvl="0">
      <w:lvlJc w:val="left"/>
      <w:lvlText w:val="%1."/>
      <w:numFmt w:val="decimal"/>
      <w:start w:val="31"/>
    </w:lvl>
  </w:abstractNum>
  <w:abstractNum w:abstractNumId="92">
    <w:nsid w:val="14FCE74E"/>
    <w:multiLevelType w:val="hybridMultilevel"/>
    <w:lvl w:ilvl="0">
      <w:lvlJc w:val="left"/>
      <w:lvlText w:val="%1."/>
      <w:numFmt w:val="decimal"/>
      <w:start w:val="32"/>
    </w:lvl>
  </w:abstractNum>
  <w:abstractNum w:abstractNumId="93">
    <w:nsid w:val="6A3DD3E8"/>
    <w:multiLevelType w:val="hybridMultilevel"/>
    <w:lvl w:ilvl="0">
      <w:lvlJc w:val="left"/>
      <w:lvlText w:val="%1."/>
      <w:numFmt w:val="decimal"/>
      <w:start w:val="33"/>
    </w:lvl>
  </w:abstractNum>
  <w:abstractNum w:abstractNumId="94">
    <w:nsid w:val="71C91298"/>
    <w:multiLevelType w:val="hybridMultilevel"/>
    <w:lvl w:ilvl="0">
      <w:lvlJc w:val="left"/>
      <w:lvlText w:val="%1."/>
      <w:numFmt w:val="decimal"/>
      <w:start w:val="36"/>
    </w:lvl>
  </w:abstractNum>
  <w:abstractNum w:abstractNumId="95">
    <w:nsid w:val="9DAF632"/>
    <w:multiLevelType w:val="hybridMultilevel"/>
    <w:lvl w:ilvl="0">
      <w:lvlJc w:val="left"/>
      <w:lvlText w:val="%1."/>
      <w:numFmt w:val="decimal"/>
      <w:start w:val="37"/>
    </w:lvl>
  </w:abstractNum>
  <w:abstractNum w:abstractNumId="96">
    <w:nsid w:val="53299938"/>
    <w:multiLevelType w:val="hybridMultilevel"/>
    <w:lvl w:ilvl="0">
      <w:lvlJc w:val="left"/>
      <w:lvlText w:val="%1."/>
      <w:numFmt w:val="lowerLetter"/>
      <w:start w:val="2"/>
    </w:lvl>
  </w:abstractNum>
  <w:abstractNum w:abstractNumId="97">
    <w:nsid w:val="1FBFE8E0"/>
    <w:multiLevelType w:val="hybridMultilevel"/>
    <w:lvl w:ilvl="0">
      <w:lvlJc w:val="left"/>
      <w:lvlText w:val="%1."/>
      <w:numFmt w:val="lowerRoman"/>
      <w:start w:val="2"/>
    </w:lvl>
  </w:abstractNum>
  <w:abstractNum w:abstractNumId="98">
    <w:nsid w:val="5092CA79"/>
    <w:multiLevelType w:val="hybridMultilevel"/>
    <w:lvl w:ilvl="0">
      <w:lvlJc w:val="left"/>
      <w:lvlText w:val="%1."/>
      <w:numFmt w:val="lowerRoman"/>
      <w:start w:val="2"/>
    </w:lvl>
  </w:abstractNum>
  <w:abstractNum w:abstractNumId="99">
    <w:nsid w:val="1D545C4D"/>
    <w:multiLevelType w:val="hybridMultilevel"/>
    <w:lvl w:ilvl="0">
      <w:lvlJc w:val="left"/>
      <w:lvlText w:val="%1."/>
      <w:numFmt w:val="decimal"/>
      <w:start w:val="40"/>
    </w:lvl>
  </w:abstractNum>
  <w:abstractNum w:abstractNumId="100">
    <w:nsid w:val="59ADEA3D"/>
    <w:multiLevelType w:val="hybridMultilevel"/>
    <w:lvl w:ilvl="0">
      <w:lvlJc w:val="left"/>
      <w:lvlText w:val="(%1)"/>
      <w:numFmt w:val="decimal"/>
      <w:start w:val="1"/>
    </w:lvl>
  </w:abstractNum>
  <w:abstractNum w:abstractNumId="101">
    <w:nsid w:val="288F1A34"/>
    <w:multiLevelType w:val="hybridMultilevel"/>
    <w:lvl w:ilvl="0">
      <w:lvlJc w:val="left"/>
      <w:lvlText w:val="%1."/>
      <w:numFmt w:val="decimal"/>
      <w:start w:val="1"/>
    </w:lvl>
    <w:lvl w:ilvl="1">
      <w:lvlJc w:val="left"/>
      <w:lvlText w:val="%2."/>
      <w:numFmt w:val="lowerLetter"/>
      <w:start w:val="1"/>
    </w:lvl>
  </w:abstractNum>
  <w:abstractNum w:abstractNumId="102">
    <w:nsid w:val="2A155DBC"/>
    <w:multiLevelType w:val="hybridMultilevel"/>
    <w:lvl w:ilvl="0">
      <w:lvlJc w:val="left"/>
      <w:lvlText w:val="%1."/>
      <w:numFmt w:val="decimal"/>
      <w:start w:val="3"/>
    </w:lvl>
    <w:lvl w:ilvl="1">
      <w:lvlJc w:val="left"/>
      <w:lvlText w:val="%2."/>
      <w:numFmt w:val="lowerLetter"/>
      <w:start w:val="1"/>
    </w:lvl>
  </w:abstractNum>
  <w:abstractNum w:abstractNumId="103">
    <w:nsid w:val="1D9F6E5F"/>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04">
    <w:nsid w:val="97E1B4E"/>
    <w:multiLevelType w:val="hybridMultilevel"/>
    <w:lvl w:ilvl="0">
      <w:lvlJc w:val="left"/>
      <w:lvlText w:val="%1."/>
      <w:numFmt w:val="decimal"/>
      <w:start w:val="6"/>
    </w:lvl>
    <w:lvl w:ilvl="1">
      <w:lvlJc w:val="left"/>
      <w:lvlText w:val="%2."/>
      <w:numFmt w:val="lowerLetter"/>
      <w:start w:val="1"/>
    </w:lvl>
  </w:abstractNum>
  <w:abstractNum w:abstractNumId="105">
    <w:nsid w:val="51088277"/>
    <w:multiLevelType w:val="hybridMultilevel"/>
    <w:lvl w:ilvl="0">
      <w:lvlJc w:val="left"/>
      <w:lvlText w:val="%1."/>
      <w:numFmt w:val="lowerRoman"/>
      <w:start w:val="2"/>
    </w:lvl>
    <w:lvl w:ilvl="1">
      <w:lvlJc w:val="left"/>
      <w:lvlText w:val="%2."/>
      <w:numFmt w:val="decimal"/>
      <w:start w:val="1"/>
    </w:lvl>
  </w:abstractNum>
  <w:abstractNum w:abstractNumId="106">
    <w:nsid w:val="1CA0C5FA"/>
    <w:multiLevelType w:val="hybridMultilevel"/>
    <w:lvl w:ilvl="0">
      <w:lvlJc w:val="left"/>
      <w:lvlText w:val="%1."/>
      <w:numFmt w:val="lowerRoman"/>
      <w:start w:val="2"/>
    </w:lvl>
  </w:abstractNum>
  <w:abstractNum w:abstractNumId="107">
    <w:nsid w:val="53584BCB"/>
    <w:multiLevelType w:val="hybridMultilevel"/>
    <w:lvl w:ilvl="0">
      <w:lvlJc w:val="left"/>
      <w:lvlText w:val="%1."/>
      <w:numFmt w:val="decimal"/>
      <w:start w:val="1"/>
    </w:lvl>
  </w:abstractNum>
  <w:abstractNum w:abstractNumId="108">
    <w:nsid w:val="415E286C"/>
    <w:multiLevelType w:val="hybridMultilevel"/>
    <w:lvl w:ilvl="0">
      <w:lvlJc w:val="left"/>
      <w:lvlText w:val="%1."/>
      <w:numFmt w:val="decimal"/>
      <w:start w:val="19"/>
    </w:lvl>
  </w:abstractNum>
  <w:abstractNum w:abstractNumId="109">
    <w:nsid w:val="7C58FD05"/>
    <w:multiLevelType w:val="hybridMultilevel"/>
    <w:lvl w:ilvl="0">
      <w:lvlJc w:val="left"/>
      <w:lvlText w:val="(%1)"/>
      <w:numFmt w:val="decimal"/>
      <w:start w:val="1"/>
    </w:lvl>
  </w:abstractNum>
  <w:abstractNum w:abstractNumId="110">
    <w:nsid w:val="23D86AAC"/>
    <w:multiLevelType w:val="hybridMultilevel"/>
    <w:lvl w:ilvl="0">
      <w:lvlJc w:val="left"/>
      <w:lvlText w:val="%1."/>
      <w:numFmt w:val="decimal"/>
      <w:start w:val="1"/>
    </w:lvl>
    <w:lvl w:ilvl="1">
      <w:lvlJc w:val="left"/>
      <w:lvlText w:val="(%2)"/>
      <w:numFmt w:val="lowerLetter"/>
      <w:start w:val="1"/>
    </w:lvl>
  </w:abstractNum>
  <w:abstractNum w:abstractNumId="111">
    <w:nsid w:val="45E6D486"/>
    <w:multiLevelType w:val="hybridMultilevel"/>
    <w:lvl w:ilvl="0">
      <w:lvlJc w:val="left"/>
      <w:lvlText w:val="%1."/>
      <w:numFmt w:val="decimal"/>
      <w:start w:val="1"/>
    </w:lvl>
    <w:lvl w:ilvl="1">
      <w:lvlJc w:val="left"/>
      <w:lvlText w:val="(%2)"/>
      <w:numFmt w:val="lowerLetter"/>
      <w:start w:val="1"/>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322" Type="http://schemas.openxmlformats.org/officeDocument/2006/relationships/image" Target="media/image292.png"/><Relationship Id="rId323" Type="http://schemas.openxmlformats.org/officeDocument/2006/relationships/image" Target="media/image293.png"/><Relationship Id="rId328" Type="http://schemas.openxmlformats.org/officeDocument/2006/relationships/image" Target="media/image294.png"/><Relationship Id="rId329" Type="http://schemas.openxmlformats.org/officeDocument/2006/relationships/image" Target="media/image295.png"/><Relationship Id="rId330" Type="http://schemas.openxmlformats.org/officeDocument/2006/relationships/image" Target="media/image296.png"/><Relationship Id="rId331" Type="http://schemas.openxmlformats.org/officeDocument/2006/relationships/image" Target="media/image297.png"/><Relationship Id="rId332" Type="http://schemas.openxmlformats.org/officeDocument/2006/relationships/image" Target="media/image298.png"/><Relationship Id="rId333" Type="http://schemas.openxmlformats.org/officeDocument/2006/relationships/image" Target="media/image299.png"/><Relationship Id="rId334" Type="http://schemas.openxmlformats.org/officeDocument/2006/relationships/image" Target="media/image300.png"/><Relationship Id="rId335" Type="http://schemas.openxmlformats.org/officeDocument/2006/relationships/image" Target="media/image301.png"/><Relationship Id="rId336" Type="http://schemas.openxmlformats.org/officeDocument/2006/relationships/image" Target="media/image302.png"/><Relationship Id="rId337" Type="http://schemas.openxmlformats.org/officeDocument/2006/relationships/image" Target="media/image303.png"/><Relationship Id="rId338" Type="http://schemas.openxmlformats.org/officeDocument/2006/relationships/image" Target="media/image304.png"/><Relationship Id="rId339" Type="http://schemas.openxmlformats.org/officeDocument/2006/relationships/image" Target="media/image305.png"/><Relationship Id="rId340" Type="http://schemas.openxmlformats.org/officeDocument/2006/relationships/image" Target="media/image306.png"/><Relationship Id="rId341" Type="http://schemas.openxmlformats.org/officeDocument/2006/relationships/image" Target="media/image307.png"/><Relationship Id="rId342" Type="http://schemas.openxmlformats.org/officeDocument/2006/relationships/image" Target="media/image308.png"/><Relationship Id="rId343" Type="http://schemas.openxmlformats.org/officeDocument/2006/relationships/image" Target="media/image309.png"/><Relationship Id="rId344" Type="http://schemas.openxmlformats.org/officeDocument/2006/relationships/image" Target="media/image310.png"/><Relationship Id="rId345" Type="http://schemas.openxmlformats.org/officeDocument/2006/relationships/image" Target="media/image311.png"/><Relationship Id="rId346" Type="http://schemas.openxmlformats.org/officeDocument/2006/relationships/image" Target="media/image312.png"/><Relationship Id="rId347" Type="http://schemas.openxmlformats.org/officeDocument/2006/relationships/image" Target="media/image313.png"/><Relationship Id="rId348" Type="http://schemas.openxmlformats.org/officeDocument/2006/relationships/image" Target="media/image314.png"/><Relationship Id="rId349" Type="http://schemas.openxmlformats.org/officeDocument/2006/relationships/image" Target="media/image315.png"/><Relationship Id="rId350" Type="http://schemas.openxmlformats.org/officeDocument/2006/relationships/image" Target="media/image316.png"/><Relationship Id="rId351" Type="http://schemas.openxmlformats.org/officeDocument/2006/relationships/image" Target="media/image317.png"/><Relationship Id="rId352" Type="http://schemas.openxmlformats.org/officeDocument/2006/relationships/image" Target="media/image318.png"/><Relationship Id="rId353" Type="http://schemas.openxmlformats.org/officeDocument/2006/relationships/image" Target="media/image319.png"/><Relationship Id="rId354" Type="http://schemas.openxmlformats.org/officeDocument/2006/relationships/image" Target="media/image320.png"/><Relationship Id="rId355" Type="http://schemas.openxmlformats.org/officeDocument/2006/relationships/image" Target="media/image321.png"/><Relationship Id="rId356" Type="http://schemas.openxmlformats.org/officeDocument/2006/relationships/image" Target="media/image322.png"/><Relationship Id="rId357" Type="http://schemas.openxmlformats.org/officeDocument/2006/relationships/image" Target="media/image323.png"/><Relationship Id="rId358" Type="http://schemas.openxmlformats.org/officeDocument/2006/relationships/image" Target="media/image324.png"/><Relationship Id="rId359" Type="http://schemas.openxmlformats.org/officeDocument/2006/relationships/image" Target="media/image325.png"/><Relationship Id="rId360" Type="http://schemas.openxmlformats.org/officeDocument/2006/relationships/image" Target="media/image326.png"/><Relationship Id="rId361" Type="http://schemas.openxmlformats.org/officeDocument/2006/relationships/image" Target="media/image327.png"/><Relationship Id="rId362" Type="http://schemas.openxmlformats.org/officeDocument/2006/relationships/image" Target="media/image328.png"/><Relationship Id="rId363" Type="http://schemas.openxmlformats.org/officeDocument/2006/relationships/image" Target="media/image329.png"/><Relationship Id="rId364" Type="http://schemas.openxmlformats.org/officeDocument/2006/relationships/image" Target="media/image330.png"/><Relationship Id="rId365" Type="http://schemas.openxmlformats.org/officeDocument/2006/relationships/image" Target="media/image331.png"/><Relationship Id="rId366" Type="http://schemas.openxmlformats.org/officeDocument/2006/relationships/image" Target="media/image332.png"/><Relationship Id="rId367" Type="http://schemas.openxmlformats.org/officeDocument/2006/relationships/image" Target="media/image333.png"/><Relationship Id="rId368" Type="http://schemas.openxmlformats.org/officeDocument/2006/relationships/image" Target="media/image334.png"/><Relationship Id="rId369" Type="http://schemas.openxmlformats.org/officeDocument/2006/relationships/image" Target="media/image335.png"/><Relationship Id="rId370" Type="http://schemas.openxmlformats.org/officeDocument/2006/relationships/image" Target="media/image336.png"/><Relationship Id="rId371" Type="http://schemas.openxmlformats.org/officeDocument/2006/relationships/image" Target="media/image337.png"/><Relationship Id="rId372" Type="http://schemas.openxmlformats.org/officeDocument/2006/relationships/image" Target="media/image338.png"/><Relationship Id="rId373" Type="http://schemas.openxmlformats.org/officeDocument/2006/relationships/image" Target="media/image339.png"/><Relationship Id="rId374" Type="http://schemas.openxmlformats.org/officeDocument/2006/relationships/image" Target="media/image340.png"/><Relationship Id="rId375" Type="http://schemas.openxmlformats.org/officeDocument/2006/relationships/image" Target="media/image341.png"/><Relationship Id="rId376" Type="http://schemas.openxmlformats.org/officeDocument/2006/relationships/image" Target="media/image342.png"/><Relationship Id="rId377" Type="http://schemas.openxmlformats.org/officeDocument/2006/relationships/image" Target="media/image343.jpeg"/><Relationship Id="rId378" Type="http://schemas.openxmlformats.org/officeDocument/2006/relationships/image" Target="media/image344.png"/><Relationship Id="rId379" Type="http://schemas.openxmlformats.org/officeDocument/2006/relationships/image" Target="media/image345.png"/><Relationship Id="rId380" Type="http://schemas.openxmlformats.org/officeDocument/2006/relationships/image" Target="media/image346.jpeg"/><Relationship Id="rId381" Type="http://schemas.openxmlformats.org/officeDocument/2006/relationships/image" Target="media/image347.png"/><Relationship Id="rId382" Type="http://schemas.openxmlformats.org/officeDocument/2006/relationships/image" Target="media/image348.png"/><Relationship Id="rId383" Type="http://schemas.openxmlformats.org/officeDocument/2006/relationships/image" Target="media/image349.png"/><Relationship Id="rId384" Type="http://schemas.openxmlformats.org/officeDocument/2006/relationships/image" Target="media/image350.png"/><Relationship Id="rId385" Type="http://schemas.openxmlformats.org/officeDocument/2006/relationships/image" Target="media/image351.png"/><Relationship Id="rId386" Type="http://schemas.openxmlformats.org/officeDocument/2006/relationships/image" Target="media/image352.png"/><Relationship Id="rId387" Type="http://schemas.openxmlformats.org/officeDocument/2006/relationships/image" Target="media/image353.png"/><Relationship Id="rId388" Type="http://schemas.openxmlformats.org/officeDocument/2006/relationships/image" Target="media/image354.png"/><Relationship Id="rId389" Type="http://schemas.openxmlformats.org/officeDocument/2006/relationships/image" Target="media/image355.jpeg"/><Relationship Id="rId390" Type="http://schemas.openxmlformats.org/officeDocument/2006/relationships/image" Target="media/image356.png"/><Relationship Id="rId391" Type="http://schemas.openxmlformats.org/officeDocument/2006/relationships/image" Target="media/image357.png"/><Relationship Id="rId392" Type="http://schemas.openxmlformats.org/officeDocument/2006/relationships/image" Target="media/image358.png"/><Relationship Id="rId393" Type="http://schemas.openxmlformats.org/officeDocument/2006/relationships/image" Target="media/image359.png"/><Relationship Id="rId394" Type="http://schemas.openxmlformats.org/officeDocument/2006/relationships/image" Target="media/image360.png"/><Relationship Id="rId395" Type="http://schemas.openxmlformats.org/officeDocument/2006/relationships/image" Target="media/image361.png"/><Relationship Id="rId396" Type="http://schemas.openxmlformats.org/officeDocument/2006/relationships/image" Target="media/image362.png"/><Relationship Id="rId397" Type="http://schemas.openxmlformats.org/officeDocument/2006/relationships/image" Target="media/image363.png"/><Relationship Id="rId398" Type="http://schemas.openxmlformats.org/officeDocument/2006/relationships/image" Target="media/image364.png"/><Relationship Id="rId399" Type="http://schemas.openxmlformats.org/officeDocument/2006/relationships/image" Target="media/image365.png"/><Relationship Id="rId400" Type="http://schemas.openxmlformats.org/officeDocument/2006/relationships/image" Target="media/image366.png"/><Relationship Id="rId401" Type="http://schemas.openxmlformats.org/officeDocument/2006/relationships/image" Target="media/image367.png"/><Relationship Id="rId402" Type="http://schemas.openxmlformats.org/officeDocument/2006/relationships/image" Target="media/image368.png"/><Relationship Id="rId403" Type="http://schemas.openxmlformats.org/officeDocument/2006/relationships/image" Target="media/image369.png"/><Relationship Id="rId404" Type="http://schemas.openxmlformats.org/officeDocument/2006/relationships/image" Target="media/image370.png"/><Relationship Id="rId405" Type="http://schemas.openxmlformats.org/officeDocument/2006/relationships/image" Target="media/image371.png"/><Relationship Id="rId406" Type="http://schemas.openxmlformats.org/officeDocument/2006/relationships/image" Target="media/image372.png"/><Relationship Id="rId407" Type="http://schemas.openxmlformats.org/officeDocument/2006/relationships/image" Target="media/image373.png"/><Relationship Id="rId408" Type="http://schemas.openxmlformats.org/officeDocument/2006/relationships/image" Target="media/image374.png"/><Relationship Id="rId299" Type="http://schemas.openxmlformats.org/officeDocument/2006/relationships/hyperlink" Target="https://www.sec.gov/Archives/edgar/data/1799448/000119312520272852/d46540dex31.htm" TargetMode="External"/><Relationship Id="rId300" Type="http://schemas.openxmlformats.org/officeDocument/2006/relationships/hyperlink" Target="https://www.sec.gov/Archives/edgar/data/1799448/000119312520272852/d46540dex32.htm" TargetMode="External"/><Relationship Id="rId301" Type="http://schemas.openxmlformats.org/officeDocument/2006/relationships/hyperlink" Target="https://www.sec.gov/Archives/edgar/data/1799448/000119312520267346/d31402dex42.htm" TargetMode="External"/><Relationship Id="rId302" Type="http://schemas.openxmlformats.org/officeDocument/2006/relationships/hyperlink" Target="https://www.sec.gov/Archives/edgar/data/0001799448/000156459021014872/algs-ex43_785.htm" TargetMode="External"/><Relationship Id="rId303" Type="http://schemas.openxmlformats.org/officeDocument/2006/relationships/hyperlink" Target="https://www.sec.gov/Archives/edgar/data/1799448/000119312520254760/d31402dex101a.htm" TargetMode="External"/><Relationship Id="rId304" Type="http://schemas.openxmlformats.org/officeDocument/2006/relationships/hyperlink" Target="https://www.sec.gov/Archives/edgar/data/1799448/000119312520254760/d31402dex101b.htm" TargetMode="External"/><Relationship Id="rId305" Type="http://schemas.openxmlformats.org/officeDocument/2006/relationships/hyperlink" Target="https://www.sec.gov/Archives/edgar/data/1799448/000119312520254760/d31402dex102a.htm" TargetMode="External"/><Relationship Id="rId306" Type="http://schemas.openxmlformats.org/officeDocument/2006/relationships/hyperlink" Target="https://www.sec.gov/Archives/edgar/data/1799448/000119312520254760/d31402dex102b.htm" TargetMode="External"/><Relationship Id="rId307" Type="http://schemas.openxmlformats.org/officeDocument/2006/relationships/hyperlink" Target="https://www.sec.gov/Archives/edgar/data/1799448/000119312520254760/d31402dex103.htm" TargetMode="External"/><Relationship Id="rId308" Type="http://schemas.openxmlformats.org/officeDocument/2006/relationships/hyperlink" Target="https://www.sec.gov/Archives/edgar/data/1799448/000119312520267346/d31402dex104.htm" TargetMode="External"/><Relationship Id="rId309" Type="http://schemas.openxmlformats.org/officeDocument/2006/relationships/hyperlink" Target="https://www.sec.gov/Archives/edgar/data/1799448/000119312520254760/d31402dex105a.htm" TargetMode="External"/><Relationship Id="rId310" Type="http://schemas.openxmlformats.org/officeDocument/2006/relationships/hyperlink" Target="https://www.sec.gov/Archives/edgar/data/1799448/000119312520254760/d31402dex105b.htm" TargetMode="External"/><Relationship Id="rId311" Type="http://schemas.openxmlformats.org/officeDocument/2006/relationships/hyperlink" Target="https://www.sec.gov/Archives/edgar/data/1799448/000119312520254760/d31402dex105c.htm" TargetMode="External"/><Relationship Id="rId312" Type="http://schemas.openxmlformats.org/officeDocument/2006/relationships/hyperlink" Target="https://www.sec.gov/Archives/edgar/data/1799448/000119312520254760/d31402dex105d.htm" TargetMode="External"/><Relationship Id="rId313" Type="http://schemas.openxmlformats.org/officeDocument/2006/relationships/hyperlink" Target="https://www.sec.gov/Archives/edgar/data/1799448/000119312520267346/d31402dex106a.htm" TargetMode="External"/><Relationship Id="rId314" Type="http://schemas.openxmlformats.org/officeDocument/2006/relationships/hyperlink" Target="https://www.sec.gov/Archives/edgar/data/1799448/000119312520267346/d31402dex106b.htm" TargetMode="External"/><Relationship Id="rId315" Type="http://schemas.openxmlformats.org/officeDocument/2006/relationships/hyperlink" Target="https://www.sec.gov/Archives/edgar/data/1799448/000119312520267346/d31402dex106c.htm" TargetMode="External"/><Relationship Id="rId316" Type="http://schemas.openxmlformats.org/officeDocument/2006/relationships/hyperlink" Target="https://www.sec.gov/Archives/edgar/data/1799448/000119312520267346/d31402dex106d.htm" TargetMode="External"/><Relationship Id="rId317" Type="http://schemas.openxmlformats.org/officeDocument/2006/relationships/hyperlink" Target="https://www.sec.gov/Archives/edgar/data/1799448/000119312520267346/d31402dex107.htm" TargetMode="External"/><Relationship Id="rId318" Type="http://schemas.openxmlformats.org/officeDocument/2006/relationships/hyperlink" Target="https://www.sec.gov/Archives/edgar/data/1799448/000119312520267346/d31402dex1010.htm" TargetMode="External"/><Relationship Id="rId319" Type="http://schemas.openxmlformats.org/officeDocument/2006/relationships/hyperlink" Target="https://www.sec.gov/Archives/edgar/data/1799448/000119312520267346/d31402dex1011.htm" TargetMode="External"/><Relationship Id="rId320" Type="http://schemas.openxmlformats.org/officeDocument/2006/relationships/hyperlink" Target="https://www.sec.gov/Archives/edgar/data/1799448/000119312520267346/d31402dex1012.htm" TargetMode="External"/><Relationship Id="rId321" Type="http://schemas.openxmlformats.org/officeDocument/2006/relationships/hyperlink" Target="https://www.sec.gov/Archives/edgar/data/0001799448/000156459021026071/algs-ex101_184.htm" TargetMode="External"/><Relationship Id="rId324" Type="http://schemas.openxmlformats.org/officeDocument/2006/relationships/hyperlink" Target="https://www.sec.gov/Archives/edgar/data/0001799448/000156459021026071/algs-ex102_183.htm" TargetMode="External"/><Relationship Id="rId325" Type="http://schemas.openxmlformats.org/officeDocument/2006/relationships/hyperlink" Target="https://www.sec.gov/Archives/edgar/data/0001799448/000156459021026071/algs-ex103_277.htm" TargetMode="External"/><Relationship Id="rId326" Type="http://schemas.openxmlformats.org/officeDocument/2006/relationships/hyperlink" Target="https://www.sec.gov/Archives/edgar/data/0001799448/000156459021026071/algs-ex104_182.htm" TargetMode="External"/><Relationship Id="rId327" Type="http://schemas.openxmlformats.org/officeDocument/2006/relationships/hyperlink" Target="https://www.sec.gov/Archives/edgar/data/0001799448/000156459021041653/algs-ex101_26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2022-03-10T15:36:39Z</dcterms:created>
  <dcterms:modified xsi:type="dcterms:W3CDTF">2022-03-10T15:36:39Z</dcterms:modified>
</cp:coreProperties>
</file>