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9"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154940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p>
      <w:pPr>
        <w:spacing w:after="0" w:line="32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0"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9" w:lineRule="exact"/>
        <w:rPr>
          <w:sz w:val="24"/>
          <w:szCs w:val="24"/>
          <w:color w:val="auto"/>
        </w:rPr>
      </w:pPr>
    </w:p>
    <w:p>
      <w:pPr>
        <w:ind w:left="2580" w:right="820" w:hanging="2580"/>
        <w:spacing w:after="0" w:line="320"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2120"/>
        <w:spacing w:after="0"/>
        <w:tabs>
          <w:tab w:leader="none" w:pos="5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-7620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2900"/>
        <w:spacing w:after="0"/>
        <w:rPr>
          <w:sz w:val="20"/>
          <w:szCs w:val="20"/>
          <w:color w:val="auto"/>
        </w:rPr>
      </w:pPr>
      <w:r>
        <w:rPr>
          <w:rFonts w:ascii="Arial" w:cs="Arial" w:eastAsia="Arial" w:hAnsi="Arial"/>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1884045</wp:posOffset>
            </wp:positionH>
            <wp:positionV relativeFrom="paragraph">
              <wp:posOffset>133350</wp:posOffset>
            </wp:positionV>
            <wp:extent cx="1748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24" w:lineRule="exact"/>
        <w:rPr>
          <w:sz w:val="24"/>
          <w:szCs w:val="24"/>
          <w:color w:val="auto"/>
        </w:rPr>
      </w:pPr>
    </w:p>
    <w:p>
      <w:pPr>
        <w:ind w:left="2040"/>
        <w:spacing w:after="0"/>
        <w:rPr>
          <w:sz w:val="20"/>
          <w:szCs w:val="20"/>
          <w:color w:val="auto"/>
        </w:rPr>
      </w:pPr>
      <w:r>
        <w:rPr>
          <w:rFonts w:ascii="Arial" w:cs="Arial" w:eastAsia="Arial" w:hAnsi="Arial"/>
          <w:sz w:val="42"/>
          <w:szCs w:val="42"/>
          <w:b w:val="1"/>
          <w:bCs w:val="1"/>
          <w:color w:val="auto"/>
        </w:rPr>
        <w:t>Aligos Therapeutics, Inc.</w:t>
      </w:r>
    </w:p>
    <w:p>
      <w:pPr>
        <w:spacing w:after="0" w:line="52"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74"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44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82-4724808</w:t>
            </w:r>
          </w:p>
        </w:tc>
      </w:tr>
      <w:tr>
        <w:trPr>
          <w:trHeight w:val="126"/>
        </w:trPr>
        <w:tc>
          <w:tcPr>
            <w:tcW w:w="4420" w:type="dxa"/>
            <w:vAlign w:val="bottom"/>
          </w:tcPr>
          <w:p>
            <w:pPr>
              <w:jc w:val="center"/>
              <w:ind w:right="1884"/>
              <w:spacing w:after="0" w:line="126" w:lineRule="exact"/>
              <w:rPr>
                <w:sz w:val="20"/>
                <w:szCs w:val="20"/>
                <w:color w:val="auto"/>
              </w:rPr>
            </w:pPr>
            <w:r>
              <w:rPr>
                <w:rFonts w:ascii="Arial" w:cs="Arial" w:eastAsia="Arial" w:hAnsi="Arial"/>
                <w:sz w:val="13"/>
                <w:szCs w:val="13"/>
                <w:b w:val="1"/>
                <w:bCs w:val="1"/>
                <w:color w:val="auto"/>
                <w:w w:val="88"/>
              </w:rPr>
              <w:t>(State or other jurisdiction of</w:t>
            </w:r>
          </w:p>
        </w:tc>
        <w:tc>
          <w:tcPr>
            <w:tcW w:w="2920" w:type="dxa"/>
            <w:vAlign w:val="bottom"/>
          </w:tcPr>
          <w:p>
            <w:pPr>
              <w:jc w:val="center"/>
              <w:ind w:left="1866"/>
              <w:spacing w:after="0" w:line="126"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420" w:type="dxa"/>
            <w:vAlign w:val="bottom"/>
          </w:tcPr>
          <w:p>
            <w:pPr>
              <w:jc w:val="center"/>
              <w:ind w:right="1864"/>
              <w:spacing w:after="0"/>
              <w:rPr>
                <w:sz w:val="20"/>
                <w:szCs w:val="20"/>
                <w:color w:val="auto"/>
              </w:rPr>
            </w:pPr>
            <w:r>
              <w:rPr>
                <w:rFonts w:ascii="Arial" w:cs="Arial" w:eastAsia="Arial" w:hAnsi="Arial"/>
                <w:sz w:val="13"/>
                <w:szCs w:val="13"/>
                <w:b w:val="1"/>
                <w:bCs w:val="1"/>
                <w:color w:val="auto"/>
                <w:w w:val="88"/>
              </w:rPr>
              <w:t>incorporation or organization)</w:t>
            </w:r>
          </w:p>
        </w:tc>
        <w:tc>
          <w:tcPr>
            <w:tcW w:w="2920" w:type="dxa"/>
            <w:vAlign w:val="bottom"/>
          </w:tcPr>
          <w:p>
            <w:pPr>
              <w:jc w:val="center"/>
              <w:ind w:left="1866"/>
              <w:spacing w:after="0"/>
              <w:rPr>
                <w:sz w:val="20"/>
                <w:szCs w:val="20"/>
                <w:color w:val="auto"/>
              </w:rPr>
            </w:pPr>
            <w:r>
              <w:rPr>
                <w:rFonts w:ascii="Arial" w:cs="Arial" w:eastAsia="Arial" w:hAnsi="Arial"/>
                <w:sz w:val="13"/>
                <w:szCs w:val="13"/>
                <w:b w:val="1"/>
                <w:bCs w:val="1"/>
                <w:color w:val="auto"/>
                <w:w w:val="89"/>
              </w:rPr>
              <w:t>Identification No.)</w:t>
            </w:r>
          </w:p>
        </w:tc>
      </w:tr>
      <w:tr>
        <w:trPr>
          <w:trHeight w:val="254"/>
        </w:trPr>
        <w:tc>
          <w:tcPr>
            <w:tcW w:w="44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2"/>
              </w:rPr>
              <w:t>One Corporate Drive, 2nd Floor</w:t>
            </w:r>
          </w:p>
        </w:tc>
        <w:tc>
          <w:tcPr>
            <w:tcW w:w="2920" w:type="dxa"/>
            <w:vAlign w:val="bottom"/>
          </w:tcPr>
          <w:p>
            <w:pPr>
              <w:spacing w:after="0"/>
              <w:rPr>
                <w:sz w:val="22"/>
                <w:szCs w:val="22"/>
                <w:color w:val="auto"/>
              </w:rPr>
            </w:pPr>
          </w:p>
        </w:tc>
      </w:tr>
      <w:tr>
        <w:trPr>
          <w:trHeight w:val="211"/>
        </w:trPr>
        <w:tc>
          <w:tcPr>
            <w:tcW w:w="4420" w:type="dxa"/>
            <w:vAlign w:val="bottom"/>
          </w:tcPr>
          <w:p>
            <w:pPr>
              <w:jc w:val="center"/>
              <w:ind w:right="1884"/>
              <w:spacing w:after="0"/>
              <w:rPr>
                <w:sz w:val="20"/>
                <w:szCs w:val="20"/>
                <w:color w:val="auto"/>
              </w:rPr>
            </w:pPr>
            <w:r>
              <w:rPr>
                <w:rFonts w:ascii="Arial" w:cs="Arial" w:eastAsia="Arial" w:hAnsi="Arial"/>
                <w:sz w:val="18"/>
                <w:szCs w:val="18"/>
                <w:b w:val="1"/>
                <w:bCs w:val="1"/>
                <w:color w:val="auto"/>
                <w:w w:val="90"/>
              </w:rPr>
              <w:t>South San Francisco, California</w:t>
            </w:r>
          </w:p>
        </w:tc>
        <w:tc>
          <w:tcPr>
            <w:tcW w:w="2920" w:type="dxa"/>
            <w:vAlign w:val="bottom"/>
          </w:tcPr>
          <w:p>
            <w:pPr>
              <w:jc w:val="right"/>
              <w:ind w:right="186"/>
              <w:spacing w:after="0"/>
              <w:rPr>
                <w:sz w:val="20"/>
                <w:szCs w:val="20"/>
                <w:color w:val="auto"/>
              </w:rPr>
            </w:pPr>
            <w:r>
              <w:rPr>
                <w:rFonts w:ascii="Arial" w:cs="Arial" w:eastAsia="Arial" w:hAnsi="Arial"/>
                <w:sz w:val="18"/>
                <w:szCs w:val="18"/>
                <w:b w:val="1"/>
                <w:bCs w:val="1"/>
                <w:color w:val="auto"/>
              </w:rPr>
              <w:t>94080</w:t>
            </w:r>
          </w:p>
        </w:tc>
      </w:tr>
      <w:tr>
        <w:trPr>
          <w:trHeight w:val="164"/>
        </w:trPr>
        <w:tc>
          <w:tcPr>
            <w:tcW w:w="4420" w:type="dxa"/>
            <w:vAlign w:val="bottom"/>
          </w:tcPr>
          <w:p>
            <w:pPr>
              <w:jc w:val="center"/>
              <w:ind w:right="18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20" w:type="dxa"/>
            <w:vAlign w:val="bottom"/>
          </w:tcPr>
          <w:p>
            <w:pPr>
              <w:jc w:val="center"/>
              <w:ind w:left="1866"/>
              <w:spacing w:after="0"/>
              <w:rPr>
                <w:sz w:val="20"/>
                <w:szCs w:val="20"/>
                <w:color w:val="auto"/>
              </w:rPr>
            </w:pPr>
            <w:r>
              <w:rPr>
                <w:rFonts w:ascii="Arial" w:cs="Arial" w:eastAsia="Arial" w:hAnsi="Arial"/>
                <w:sz w:val="13"/>
                <w:szCs w:val="13"/>
                <w:b w:val="1"/>
                <w:bCs w:val="1"/>
                <w:color w:val="auto"/>
                <w:w w:val="90"/>
              </w:rPr>
              <w:t>(Zip Code)</w:t>
            </w:r>
          </w:p>
        </w:tc>
      </w:tr>
    </w:tbl>
    <w:p>
      <w:pPr>
        <w:spacing w:after="0" w:line="187" w:lineRule="exact"/>
        <w:rPr>
          <w:sz w:val="24"/>
          <w:szCs w:val="24"/>
          <w:color w:val="auto"/>
        </w:rPr>
      </w:pPr>
    </w:p>
    <w:p>
      <w:pPr>
        <w:ind w:left="1740"/>
        <w:spacing w:after="0"/>
        <w:rPr>
          <w:sz w:val="20"/>
          <w:szCs w:val="20"/>
          <w:color w:val="auto"/>
        </w:rPr>
      </w:pPr>
      <w:r>
        <w:rPr>
          <w:rFonts w:ascii="Arial" w:cs="Arial" w:eastAsia="Arial" w:hAnsi="Arial"/>
          <w:sz w:val="18"/>
          <w:szCs w:val="18"/>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1884045</wp:posOffset>
            </wp:positionH>
            <wp:positionV relativeFrom="paragraph">
              <wp:posOffset>171450</wp:posOffset>
            </wp:positionV>
            <wp:extent cx="174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13" w:lineRule="exact"/>
        <w:rPr>
          <w:sz w:val="24"/>
          <w:szCs w:val="24"/>
          <w:color w:val="auto"/>
        </w:rPr>
      </w:pPr>
    </w:p>
    <w:p>
      <w:pPr>
        <w:ind w:left="21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8" w:lineRule="exact"/>
        <w:rPr>
          <w:sz w:val="24"/>
          <w:szCs w:val="24"/>
          <w:color w:val="auto"/>
        </w:rPr>
      </w:pPr>
    </w:p>
    <w:p>
      <w:pPr>
        <w:sectPr>
          <w:pgSz w:w="11900" w:h="16838" w:orient="portrait"/>
          <w:cols w:equalWidth="0" w:num="2">
            <w:col w:w="940" w:space="340"/>
            <w:col w:w="9960"/>
          </w:cols>
          <w:pgMar w:left="320" w:top="660" w:right="33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Title of each class</w:t>
            </w:r>
          </w:p>
        </w:tc>
        <w:tc>
          <w:tcPr>
            <w:tcW w:w="120" w:type="dxa"/>
            <w:vAlign w:val="bottom"/>
          </w:tcPr>
          <w:p>
            <w:pPr>
              <w:spacing w:after="0"/>
              <w:rPr>
                <w:sz w:val="14"/>
                <w:szCs w:val="14"/>
                <w:color w:val="auto"/>
              </w:rPr>
            </w:pPr>
          </w:p>
        </w:tc>
        <w:tc>
          <w:tcPr>
            <w:tcW w:w="226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Trading Symbol(s)</w:t>
            </w:r>
          </w:p>
        </w:tc>
        <w:tc>
          <w:tcPr>
            <w:tcW w:w="100" w:type="dxa"/>
            <w:vAlign w:val="bottom"/>
          </w:tcPr>
          <w:p>
            <w:pPr>
              <w:spacing w:after="0"/>
              <w:rPr>
                <w:sz w:val="14"/>
                <w:szCs w:val="14"/>
                <w:color w:val="auto"/>
              </w:rPr>
            </w:pPr>
          </w:p>
        </w:tc>
        <w:tc>
          <w:tcPr>
            <w:tcW w:w="436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58"/>
        </w:trPr>
        <w:tc>
          <w:tcPr>
            <w:tcW w:w="4400" w:type="dxa"/>
            <w:vAlign w:val="bottom"/>
          </w:tcPr>
          <w:p>
            <w:pPr>
              <w:jc w:val="center"/>
              <w:spacing w:after="0" w:line="158" w:lineRule="exact"/>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3"/>
                <w:szCs w:val="13"/>
                <w:color w:val="auto"/>
              </w:rPr>
            </w:pPr>
          </w:p>
        </w:tc>
        <w:tc>
          <w:tcPr>
            <w:tcW w:w="2260" w:type="dxa"/>
            <w:vAlign w:val="bottom"/>
          </w:tcPr>
          <w:p>
            <w:pPr>
              <w:ind w:left="880"/>
              <w:spacing w:after="0" w:line="158" w:lineRule="exact"/>
              <w:rPr>
                <w:sz w:val="20"/>
                <w:szCs w:val="20"/>
                <w:color w:val="auto"/>
              </w:rPr>
            </w:pPr>
            <w:r>
              <w:rPr>
                <w:rFonts w:ascii="Arial" w:cs="Arial" w:eastAsia="Arial" w:hAnsi="Arial"/>
                <w:sz w:val="18"/>
                <w:szCs w:val="18"/>
                <w:b w:val="1"/>
                <w:bCs w:val="1"/>
                <w:color w:val="auto"/>
              </w:rPr>
              <w:t>ALGS</w:t>
            </w:r>
          </w:p>
        </w:tc>
        <w:tc>
          <w:tcPr>
            <w:tcW w:w="100" w:type="dxa"/>
            <w:vAlign w:val="bottom"/>
          </w:tcPr>
          <w:p>
            <w:pPr>
              <w:spacing w:after="0"/>
              <w:rPr>
                <w:sz w:val="13"/>
                <w:szCs w:val="13"/>
                <w:color w:val="auto"/>
              </w:rPr>
            </w:pPr>
          </w:p>
        </w:tc>
        <w:tc>
          <w:tcPr>
            <w:tcW w:w="4360" w:type="dxa"/>
            <w:vAlign w:val="bottom"/>
          </w:tcPr>
          <w:p>
            <w:pPr>
              <w:jc w:val="center"/>
              <w:spacing w:after="0" w:line="15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35" w:lineRule="exact"/>
        <w:rPr>
          <w:sz w:val="24"/>
          <w:szCs w:val="24"/>
          <w:color w:val="auto"/>
        </w:rPr>
      </w:pPr>
    </w:p>
    <w:p>
      <w:pPr>
        <w:ind w:right="60"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40"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20" w:firstLine="509"/>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29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380" w:type="dxa"/>
            <w:vAlign w:val="bottom"/>
          </w:tcPr>
          <w:p>
            <w:pPr>
              <w:ind w:left="304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jc w:val="both"/>
        <w:ind w:firstLine="509"/>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900" w:val="left"/>
          <w:tab w:leader="none" w:pos="95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6" w:lineRule="exact"/>
        <w:rPr>
          <w:sz w:val="24"/>
          <w:szCs w:val="24"/>
          <w:color w:val="auto"/>
        </w:rPr>
      </w:pPr>
    </w:p>
    <w:p>
      <w:pPr>
        <w:ind w:right="300" w:firstLine="509"/>
        <w:spacing w:after="0" w:line="324" w:lineRule="auto"/>
        <w:rPr>
          <w:sz w:val="20"/>
          <w:szCs w:val="20"/>
          <w:color w:val="auto"/>
        </w:rPr>
      </w:pPr>
      <w:r>
        <w:rPr>
          <w:rFonts w:ascii="Arial" w:cs="Arial" w:eastAsia="Arial" w:hAnsi="Arial"/>
          <w:sz w:val="16"/>
          <w:szCs w:val="16"/>
          <w:color w:val="auto"/>
        </w:rPr>
        <w:t>As of August 1, 2022, the registrant had 42,809,339 shares of common stock, $0.0001 par value per share, outstanding, comprised of 39,717,001 shares of voting common stock, $0.0001 par value per share and 3,092,338 shares of non-voting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495300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8"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46" w:lineRule="exact"/>
        <w:rPr>
          <w:sz w:val="20"/>
          <w:szCs w:val="20"/>
          <w:color w:val="auto"/>
        </w:rPr>
      </w:pPr>
    </w:p>
    <w:p>
      <w:pPr>
        <w:ind w:right="160" w:firstLine="509"/>
        <w:spacing w:after="0" w:line="232" w:lineRule="auto"/>
        <w:rPr>
          <w:sz w:val="20"/>
          <w:szCs w:val="20"/>
          <w:color w:val="auto"/>
        </w:rPr>
      </w:pPr>
      <w:r>
        <w:rPr>
          <w:rFonts w:ascii="Arial" w:cs="Arial" w:eastAsia="Arial" w:hAnsi="Arial"/>
          <w:sz w:val="17"/>
          <w:szCs w:val="17"/>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68" w:lineRule="exact"/>
        <w:rPr>
          <w:sz w:val="20"/>
          <w:szCs w:val="20"/>
          <w:color w:val="auto"/>
        </w:rPr>
      </w:pPr>
    </w:p>
    <w:p>
      <w:pPr>
        <w:ind w:left="1020" w:right="46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drug candidates or any other future drug candidates, and conducting nonclinical studies and clinical trials, including our ALG-000184 and ALG-055009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our current or future drug candidates, and any related restrictions or limitations;</w:t>
      </w:r>
    </w:p>
    <w:p>
      <w:pPr>
        <w:spacing w:after="0" w:line="62"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developments related to COVID-19 on our business and operations, including clinical trials, manufacturing suppliers, collaborators, use of contract research organizations and employees;</w:t>
      </w:r>
    </w:p>
    <w:p>
      <w:pPr>
        <w:spacing w:after="0" w:line="62"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ALG-000184 and ALG-055009, our other drug candidates and any future drug candidates, if approved for commercial use;</w:t>
      </w:r>
    </w:p>
    <w:p>
      <w:pPr>
        <w:spacing w:after="0" w:line="62"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licensing or other arrangements and the financial terms of any such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03"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rate and degree of market acceptance of our drug candidates, as well as the pricing and reimbursement of our drug candidates, if approved;</w:t>
      </w:r>
    </w:p>
    <w:p>
      <w:pPr>
        <w:spacing w:after="0" w:line="62"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 candidates and technology, including additional indications for which we may pursue;</w:t>
      </w:r>
    </w:p>
    <w:p>
      <w:pPr>
        <w:spacing w:after="0" w:line="62"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including the projected term of patent protection;</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lawsuits related to our drug candidates or commenced against us, including the costs associated with our current litigation with Janssen Biopharma, LLC (Janssen);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key management, scientific and medical personnel;</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expectations regarding our ability to obtain, maintain, enforce and defend our intellectual property protection for our drug candidates;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0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p>
    <w:p>
      <w:pPr>
        <w:spacing w:after="0" w:line="81"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47"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104" w:lineRule="exact"/>
        <w:rPr>
          <w:sz w:val="20"/>
          <w:szCs w:val="20"/>
          <w:color w:val="auto"/>
        </w:rPr>
      </w:pPr>
    </w:p>
    <w:p>
      <w:pPr>
        <w:ind w:left="1020" w:right="100" w:hanging="503"/>
        <w:spacing w:after="0" w:line="270"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03" w:lineRule="exact"/>
        <w:rPr>
          <w:rFonts w:ascii="Arial" w:cs="Arial" w:eastAsia="Arial" w:hAnsi="Arial"/>
          <w:sz w:val="18"/>
          <w:szCs w:val="18"/>
          <w:color w:val="auto"/>
        </w:rPr>
      </w:pPr>
    </w:p>
    <w:p>
      <w:pPr>
        <w:jc w:val="both"/>
        <w:ind w:left="1020" w:right="180" w:hanging="503"/>
        <w:spacing w:after="0" w:line="24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73" w:lineRule="exact"/>
        <w:rPr>
          <w:rFonts w:ascii="Arial" w:cs="Arial" w:eastAsia="Arial" w:hAnsi="Arial"/>
          <w:sz w:val="18"/>
          <w:szCs w:val="18"/>
          <w:color w:val="auto"/>
        </w:rPr>
      </w:pPr>
    </w:p>
    <w:p>
      <w:pPr>
        <w:ind w:left="1020" w:right="40" w:hanging="503"/>
        <w:spacing w:after="0" w:line="294"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39" w:lineRule="exact"/>
        <w:rPr>
          <w:rFonts w:ascii="Arial" w:cs="Arial" w:eastAsia="Arial" w:hAnsi="Arial"/>
          <w:sz w:val="16"/>
          <w:szCs w:val="16"/>
          <w:color w:val="auto"/>
        </w:rPr>
      </w:pPr>
    </w:p>
    <w:p>
      <w:pPr>
        <w:jc w:val="both"/>
        <w:ind w:left="1020" w:right="260" w:hanging="503"/>
        <w:spacing w:after="0" w:line="24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73" w:lineRule="exact"/>
        <w:rPr>
          <w:rFonts w:ascii="Arial" w:cs="Arial" w:eastAsia="Arial" w:hAnsi="Arial"/>
          <w:sz w:val="18"/>
          <w:szCs w:val="18"/>
          <w:color w:val="auto"/>
        </w:rPr>
      </w:pPr>
    </w:p>
    <w:p>
      <w:pPr>
        <w:ind w:left="1020" w:right="60" w:hanging="503"/>
        <w:spacing w:after="0" w:line="270"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55" w:lineRule="exact"/>
        <w:rPr>
          <w:rFonts w:ascii="Arial" w:cs="Arial" w:eastAsia="Arial" w:hAnsi="Arial"/>
          <w:sz w:val="17"/>
          <w:szCs w:val="17"/>
          <w:color w:val="auto"/>
        </w:rPr>
      </w:pPr>
    </w:p>
    <w:p>
      <w:pPr>
        <w:ind w:left="1020" w:right="240" w:hanging="503"/>
        <w:spacing w:after="0" w:line="261"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intend to develop our current drug candidates, and expect to develop other future drug candidates, in combination with other therapies, which exposes us to additional risks.</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62" w:lineRule="exact"/>
        <w:rPr>
          <w:rFonts w:ascii="Arial" w:cs="Arial" w:eastAsia="Arial" w:hAnsi="Arial"/>
          <w:sz w:val="18"/>
          <w:szCs w:val="18"/>
          <w:color w:val="auto"/>
        </w:rPr>
      </w:pPr>
    </w:p>
    <w:p>
      <w:pPr>
        <w:jc w:val="both"/>
        <w:ind w:left="1020" w:right="140" w:hanging="503"/>
        <w:spacing w:after="0" w:line="294"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39" w:lineRule="exact"/>
        <w:rPr>
          <w:rFonts w:ascii="Arial" w:cs="Arial" w:eastAsia="Arial" w:hAnsi="Arial"/>
          <w:sz w:val="16"/>
          <w:szCs w:val="16"/>
          <w:color w:val="auto"/>
        </w:rPr>
      </w:pPr>
    </w:p>
    <w:p>
      <w:pPr>
        <w:ind w:left="1020" w:right="40" w:hanging="503"/>
        <w:spacing w:after="0" w:line="261"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2" w:lineRule="exact"/>
        <w:rPr>
          <w:rFonts w:ascii="Arial" w:cs="Arial" w:eastAsia="Arial" w:hAnsi="Arial"/>
          <w:sz w:val="18"/>
          <w:szCs w:val="18"/>
          <w:color w:val="auto"/>
        </w:rPr>
      </w:pPr>
    </w:p>
    <w:p>
      <w:pPr>
        <w:ind w:left="1020" w:right="220" w:hanging="503"/>
        <w:spacing w:after="0" w:line="243"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8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p>
        </w:tc>
        <w:tc>
          <w:tcPr>
            <w:tcW w:w="900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INFORMATION</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0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Balance Sheets as of June 30, 2022 and December 31, 2021</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0" w:type="dxa"/>
            <w:vAlign w:val="bottom"/>
            <w:gridSpan w:val="16"/>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Condensed Consolidated Statements of Operations and Comprehensive Loss for the Three and Six Months Ended June 30,</w:t>
              </w:r>
            </w:hyperlink>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2022 and 2021</w:t>
              </w:r>
            </w:hyperlink>
          </w:p>
        </w:tc>
        <w:tc>
          <w:tcPr>
            <w:tcW w:w="1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0" w:type="dxa"/>
            <w:vAlign w:val="bottom"/>
            <w:gridSpan w:val="16"/>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Statements of Changes in Stockholders’ Equity for the Three and Six Months Ended June 30, 2022</w:t>
              </w:r>
            </w:hyperlink>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8">
              <w:r>
                <w:rPr>
                  <w:rFonts w:ascii="Arial" w:cs="Arial" w:eastAsia="Arial" w:hAnsi="Arial"/>
                  <w:sz w:val="18"/>
                  <w:szCs w:val="18"/>
                  <w:color w:val="0000FF"/>
                </w:rPr>
                <w:t>and 2021</w:t>
              </w:r>
            </w:hyperlink>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0" w:type="dxa"/>
            <w:vAlign w:val="bottom"/>
            <w:gridSpan w:val="16"/>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 for the Six Months Ended June 30, 2022 and 2021</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0" w:type="dxa"/>
            <w:vAlign w:val="bottom"/>
            <w:gridSpan w:val="16"/>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Notes to Unaudited Condensed Consolidated Financial Statements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16"/>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000" w:type="dxa"/>
            <w:vAlign w:val="bottom"/>
            <w:gridSpan w:val="1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Quantitative and Qualitative Disclosures About Market Risk</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60" w:type="dxa"/>
            <w:vAlign w:val="bottom"/>
            <w:tcBorders>
              <w:left w:val="single" w:sz="8" w:color="0000FF"/>
            </w:tcBorders>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000" w:type="dxa"/>
            <w:vAlign w:val="bottom"/>
            <w:gridSpan w:val="16"/>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vMerge w:val="continue"/>
          </w:tcPr>
          <w:p>
            <w:pPr>
              <w:spacing w:after="0"/>
              <w:rPr>
                <w:sz w:val="24"/>
                <w:szCs w:val="24"/>
                <w:color w:val="auto"/>
              </w:rPr>
            </w:pPr>
          </w:p>
        </w:tc>
        <w:tc>
          <w:tcPr>
            <w:tcW w:w="9000" w:type="dxa"/>
            <w:vAlign w:val="bottom"/>
            <w:gridSpan w:val="1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OTHER INFORMATION</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00" w:type="dxa"/>
            <w:vAlign w:val="bottom"/>
            <w:gridSpan w:val="1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Legal Proceedings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0" w:type="dxa"/>
            <w:vAlign w:val="bottom"/>
            <w:gridSpan w:val="1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Risk Factors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16"/>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Unregistered Sales of Equity Securities and Use of Proceeds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000" w:type="dxa"/>
            <w:vAlign w:val="bottom"/>
            <w:gridSpan w:val="16"/>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Defaults Upon Senior Securities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68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000" w:type="dxa"/>
            <w:vAlign w:val="bottom"/>
            <w:gridSpan w:val="16"/>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Mine Safety Disclosures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000" w:type="dxa"/>
            <w:vAlign w:val="bottom"/>
            <w:gridSpan w:val="16"/>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Other Information</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70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00" w:type="dxa"/>
            <w:vAlign w:val="bottom"/>
            <w:gridSpan w:val="16"/>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Exhibits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Signatures</w:t>
              </w:r>
            </w:hyperlink>
          </w:p>
        </w:tc>
        <w:tc>
          <w:tcPr>
            <w:tcW w:w="6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ALIGOS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52"/>
              <w:spacing w:after="0"/>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71,172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186,816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88,172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8,320</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167,685</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204,424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line="196" w:lineRule="exact"/>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8,441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8,789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5,781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15,110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616</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380"/>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182,523</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LIABILITIES AND</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12,824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25,394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Finance lease liabilities, current</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 from collaborations, current</w:t>
            </w:r>
          </w:p>
        </w:tc>
        <w:tc>
          <w:tcPr>
            <w:tcW w:w="2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13,133</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31,653</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10,302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Finance lease liabilities, net of current portion</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 from collaborations, net of current portion</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3,253</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45,542</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50,638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9)</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40" w:type="dxa"/>
            <w:vAlign w:val="bottom"/>
          </w:tcPr>
          <w:p>
            <w:pPr>
              <w:ind w:left="200"/>
              <w:spacing w:after="0" w:line="162" w:lineRule="exact"/>
              <w:rPr>
                <w:sz w:val="20"/>
                <w:szCs w:val="20"/>
                <w:color w:val="auto"/>
              </w:rPr>
            </w:pPr>
            <w:r>
              <w:rPr>
                <w:rFonts w:ascii="Arial" w:cs="Arial" w:eastAsia="Arial" w:hAnsi="Arial"/>
                <w:sz w:val="18"/>
                <w:szCs w:val="18"/>
                <w:color w:val="auto"/>
                <w:w w:val="92"/>
              </w:rPr>
              <w:t>Preferred Stock, $0.0001 par value; 10,000,000 shares authorized as of June 30, 2022 (unaudited) and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40" w:type="dxa"/>
            <w:vAlign w:val="bottom"/>
          </w:tcPr>
          <w:p>
            <w:pPr>
              <w:ind w:left="200"/>
              <w:spacing w:after="0" w:line="176" w:lineRule="exact"/>
              <w:rPr>
                <w:sz w:val="20"/>
                <w:szCs w:val="20"/>
                <w:color w:val="auto"/>
              </w:rPr>
            </w:pPr>
            <w:r>
              <w:rPr>
                <w:rFonts w:ascii="Arial" w:cs="Arial" w:eastAsia="Arial" w:hAnsi="Arial"/>
                <w:sz w:val="18"/>
                <w:szCs w:val="18"/>
                <w:color w:val="auto"/>
                <w:w w:val="91"/>
              </w:rPr>
              <w:t>December 31, 2021, respectively; no shares issued and outstanding as of June 30, 2022 (unaudited) and</w:t>
            </w: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December 31, 2021, respectively.</w:t>
            </w: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2"/>
              </w:rPr>
              <w:t>Common stock, $0.0001 par value; 320,000,000 shares authorized as of June 30, 2022 (unaudited) and</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4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w w:val="91"/>
              </w:rPr>
              <w:t>December 31, 2021, respectively; 42,808,288 and 42,690,229 shares issued and outstanding as of June</w:t>
            </w:r>
          </w:p>
        </w:tc>
        <w:tc>
          <w:tcPr>
            <w:tcW w:w="24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30, 2022 (unaudited) and December 31, 2021, respectively.</w:t>
            </w:r>
          </w:p>
        </w:tc>
        <w:tc>
          <w:tcPr>
            <w:tcW w:w="240" w:type="dxa"/>
            <w:vAlign w:val="bottom"/>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495,538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487,347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(358,611 )</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(303,072 )</w:t>
            </w:r>
          </w:p>
        </w:tc>
        <w:tc>
          <w:tcPr>
            <w:tcW w:w="0" w:type="dxa"/>
            <w:vAlign w:val="bottom"/>
          </w:tcPr>
          <w:p>
            <w:pPr>
              <w:spacing w:after="0"/>
              <w:rPr>
                <w:sz w:val="1"/>
                <w:szCs w:val="1"/>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136,981</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184,731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182,523</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-4291330</wp:posOffset>
            </wp:positionV>
            <wp:extent cx="768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-4291330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-3768090</wp:posOffset>
            </wp:positionV>
            <wp:extent cx="768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-3768090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-2447925</wp:posOffset>
            </wp:positionV>
            <wp:extent cx="768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-2447925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-1651000</wp:posOffset>
            </wp:positionV>
            <wp:extent cx="768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-1651000</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-159385</wp:posOffset>
            </wp:positionV>
            <wp:extent cx="7683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60" w:type="dxa"/>
            <w:vAlign w:val="bottom"/>
            <w:gridSpan w:val="5"/>
          </w:tcPr>
          <w:p>
            <w:pPr>
              <w:jc w:val="right"/>
              <w:ind w:right="68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from collaborations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FF0FC"/>
          </w:tcPr>
          <w:p>
            <w:pPr>
              <w:spacing w:after="0"/>
              <w:rPr>
                <w:sz w:val="19"/>
                <w:szCs w:val="19"/>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16,510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24,554</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48,186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47,422</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7,576</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6,556</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14,028</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12,337</w:t>
            </w:r>
          </w:p>
        </w:tc>
        <w:tc>
          <w:tcPr>
            <w:tcW w:w="100" w:type="dxa"/>
            <w:vAlign w:val="bottom"/>
          </w:tcPr>
          <w:p>
            <w:pPr>
              <w:spacing w:after="0"/>
              <w:rPr>
                <w:sz w:val="17"/>
                <w:szCs w:val="17"/>
                <w:color w:val="auto"/>
              </w:rPr>
            </w:pPr>
          </w:p>
        </w:tc>
      </w:tr>
      <w:tr>
        <w:trPr>
          <w:trHeight w:val="196"/>
        </w:trPr>
        <w:tc>
          <w:tcPr>
            <w:tcW w:w="59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24,086</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31,110</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62,214</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59,759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00" w:type="dxa"/>
            <w:vAlign w:val="bottom"/>
          </w:tcPr>
          <w:p>
            <w:pPr>
              <w:ind w:left="380"/>
              <w:spacing w:after="0" w:line="196" w:lineRule="exact"/>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7"/>
                <w:szCs w:val="17"/>
                <w:color w:val="auto"/>
              </w:rPr>
            </w:pPr>
          </w:p>
        </w:tc>
        <w:tc>
          <w:tcPr>
            <w:tcW w:w="120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(20,393 )</w:t>
            </w:r>
          </w:p>
        </w:tc>
        <w:tc>
          <w:tcPr>
            <w:tcW w:w="220" w:type="dxa"/>
            <w:vAlign w:val="bottom"/>
          </w:tcPr>
          <w:p>
            <w:pPr>
              <w:spacing w:after="0"/>
              <w:rPr>
                <w:sz w:val="17"/>
                <w:szCs w:val="17"/>
                <w:color w:val="auto"/>
              </w:rPr>
            </w:pP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(29,565 )</w:t>
            </w:r>
          </w:p>
        </w:tc>
        <w:tc>
          <w:tcPr>
            <w:tcW w:w="200" w:type="dxa"/>
            <w:vAlign w:val="bottom"/>
          </w:tcPr>
          <w:p>
            <w:pPr>
              <w:spacing w:after="0"/>
              <w:rPr>
                <w:sz w:val="17"/>
                <w:szCs w:val="17"/>
                <w:color w:val="auto"/>
              </w:rPr>
            </w:pPr>
          </w:p>
        </w:tc>
        <w:tc>
          <w:tcPr>
            <w:tcW w:w="11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(55,950 )</w:t>
            </w:r>
          </w:p>
        </w:tc>
        <w:tc>
          <w:tcPr>
            <w:tcW w:w="22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(57,304 )</w:t>
            </w:r>
          </w:p>
        </w:tc>
      </w:tr>
      <w:tr>
        <w:trPr>
          <w:trHeight w:val="196"/>
        </w:trPr>
        <w:tc>
          <w:tcPr>
            <w:tcW w:w="5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and other income (expense), net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516</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510</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900" w:type="dxa"/>
            <w:vAlign w:val="bottom"/>
          </w:tcPr>
          <w:p>
            <w:pPr>
              <w:ind w:left="380"/>
              <w:spacing w:after="0" w:line="196" w:lineRule="exact"/>
              <w:rPr>
                <w:sz w:val="20"/>
                <w:szCs w:val="20"/>
                <w:color w:val="auto"/>
              </w:rPr>
            </w:pPr>
            <w:r>
              <w:rPr>
                <w:rFonts w:ascii="Arial" w:cs="Arial" w:eastAsia="Arial" w:hAnsi="Arial"/>
                <w:sz w:val="18"/>
                <w:szCs w:val="18"/>
                <w:color w:val="auto"/>
              </w:rPr>
              <w:t>Loss before income tax expense</w:t>
            </w:r>
          </w:p>
        </w:tc>
        <w:tc>
          <w:tcPr>
            <w:tcW w:w="220" w:type="dxa"/>
            <w:vAlign w:val="bottom"/>
          </w:tcPr>
          <w:p>
            <w:pPr>
              <w:spacing w:after="0"/>
              <w:rPr>
                <w:sz w:val="17"/>
                <w:szCs w:val="17"/>
                <w:color w:val="auto"/>
              </w:rPr>
            </w:pPr>
          </w:p>
        </w:tc>
        <w:tc>
          <w:tcPr>
            <w:tcW w:w="120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(19,877 )</w:t>
            </w:r>
          </w:p>
        </w:tc>
        <w:tc>
          <w:tcPr>
            <w:tcW w:w="220" w:type="dxa"/>
            <w:vAlign w:val="bottom"/>
          </w:tcPr>
          <w:p>
            <w:pPr>
              <w:spacing w:after="0"/>
              <w:rPr>
                <w:sz w:val="17"/>
                <w:szCs w:val="17"/>
                <w:color w:val="auto"/>
              </w:rPr>
            </w:pP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(29,790 )</w:t>
            </w:r>
          </w:p>
        </w:tc>
        <w:tc>
          <w:tcPr>
            <w:tcW w:w="200" w:type="dxa"/>
            <w:vAlign w:val="bottom"/>
          </w:tcPr>
          <w:p>
            <w:pPr>
              <w:spacing w:after="0"/>
              <w:rPr>
                <w:sz w:val="17"/>
                <w:szCs w:val="17"/>
                <w:color w:val="auto"/>
              </w:rPr>
            </w:pPr>
          </w:p>
        </w:tc>
        <w:tc>
          <w:tcPr>
            <w:tcW w:w="11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(55,440 )</w:t>
            </w:r>
          </w:p>
        </w:tc>
        <w:tc>
          <w:tcPr>
            <w:tcW w:w="22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(57,418 )</w:t>
            </w:r>
          </w:p>
        </w:tc>
      </w:tr>
      <w:tr>
        <w:trPr>
          <w:trHeight w:val="203"/>
        </w:trPr>
        <w:tc>
          <w:tcPr>
            <w:tcW w:w="5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(47 )</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(28 )</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(99 )</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(74 )</w:t>
            </w:r>
          </w:p>
        </w:tc>
      </w:tr>
      <w:tr>
        <w:trPr>
          <w:trHeight w:val="20"/>
        </w:trPr>
        <w:tc>
          <w:tcPr>
            <w:tcW w:w="5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900" w:type="dxa"/>
            <w:vAlign w:val="bottom"/>
          </w:tcPr>
          <w:p>
            <w:pPr>
              <w:ind w:left="380"/>
              <w:spacing w:after="0" w:line="196"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7"/>
                <w:szCs w:val="17"/>
                <w:color w:val="auto"/>
              </w:rPr>
            </w:pPr>
          </w:p>
        </w:tc>
        <w:tc>
          <w:tcPr>
            <w:tcW w:w="120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(19,924 )</w:t>
            </w:r>
          </w:p>
        </w:tc>
        <w:tc>
          <w:tcPr>
            <w:tcW w:w="220" w:type="dxa"/>
            <w:vAlign w:val="bottom"/>
          </w:tcPr>
          <w:p>
            <w:pPr>
              <w:spacing w:after="0"/>
              <w:rPr>
                <w:sz w:val="17"/>
                <w:szCs w:val="17"/>
                <w:color w:val="auto"/>
              </w:rPr>
            </w:pP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(29,818 )</w:t>
            </w:r>
          </w:p>
        </w:tc>
        <w:tc>
          <w:tcPr>
            <w:tcW w:w="200" w:type="dxa"/>
            <w:vAlign w:val="bottom"/>
          </w:tcPr>
          <w:p>
            <w:pPr>
              <w:spacing w:after="0"/>
              <w:rPr>
                <w:sz w:val="17"/>
                <w:szCs w:val="17"/>
                <w:color w:val="auto"/>
              </w:rPr>
            </w:pPr>
          </w:p>
        </w:tc>
        <w:tc>
          <w:tcPr>
            <w:tcW w:w="11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(55,539 )</w:t>
            </w:r>
          </w:p>
        </w:tc>
        <w:tc>
          <w:tcPr>
            <w:tcW w:w="22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(57,492 )</w:t>
            </w:r>
          </w:p>
        </w:tc>
      </w:tr>
      <w:tr>
        <w:trPr>
          <w:trHeight w:val="196"/>
        </w:trPr>
        <w:tc>
          <w:tcPr>
            <w:tcW w:w="5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0"/>
              <w:spacing w:after="0" w:line="202" w:lineRule="exact"/>
              <w:rPr>
                <w:sz w:val="20"/>
                <w:szCs w:val="20"/>
                <w:color w:val="auto"/>
              </w:rPr>
            </w:pPr>
            <w:r>
              <w:rPr>
                <w:rFonts w:ascii="Arial" w:cs="Arial" w:eastAsia="Arial" w:hAnsi="Arial"/>
                <w:sz w:val="18"/>
                <w:szCs w:val="18"/>
                <w:color w:val="auto"/>
              </w:rPr>
              <w:t>Unrealized loss on available-for-sale securities</w:t>
            </w:r>
          </w:p>
        </w:tc>
        <w:tc>
          <w:tcPr>
            <w:tcW w:w="220" w:type="dxa"/>
            <w:vAlign w:val="bottom"/>
          </w:tcPr>
          <w:p>
            <w:pPr>
              <w:spacing w:after="0"/>
              <w:rPr>
                <w:sz w:val="17"/>
                <w:szCs w:val="17"/>
                <w:color w:val="auto"/>
              </w:rPr>
            </w:pPr>
          </w:p>
        </w:tc>
        <w:tc>
          <w:tcPr>
            <w:tcW w:w="120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(154 )</w:t>
            </w:r>
          </w:p>
        </w:tc>
        <w:tc>
          <w:tcPr>
            <w:tcW w:w="220" w:type="dxa"/>
            <w:vAlign w:val="bottom"/>
          </w:tcPr>
          <w:p>
            <w:pPr>
              <w:spacing w:after="0"/>
              <w:rPr>
                <w:sz w:val="17"/>
                <w:szCs w:val="17"/>
                <w:color w:val="auto"/>
              </w:rPr>
            </w:pPr>
          </w:p>
        </w:tc>
        <w:tc>
          <w:tcPr>
            <w:tcW w:w="11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(26 )</w:t>
            </w:r>
          </w:p>
        </w:tc>
        <w:tc>
          <w:tcPr>
            <w:tcW w:w="200" w:type="dxa"/>
            <w:vAlign w:val="bottom"/>
          </w:tcPr>
          <w:p>
            <w:pPr>
              <w:spacing w:after="0"/>
              <w:rPr>
                <w:sz w:val="17"/>
                <w:szCs w:val="17"/>
                <w:color w:val="auto"/>
              </w:rPr>
            </w:pPr>
          </w:p>
        </w:tc>
        <w:tc>
          <w:tcPr>
            <w:tcW w:w="11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(402 )</w:t>
            </w: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(66 )</w:t>
            </w:r>
          </w:p>
        </w:tc>
      </w:tr>
      <w:tr>
        <w:trPr>
          <w:trHeight w:val="203"/>
        </w:trPr>
        <w:tc>
          <w:tcPr>
            <w:tcW w:w="59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gain on pension plans</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00" w:type="dxa"/>
            <w:vAlign w:val="bottom"/>
          </w:tcPr>
          <w:p>
            <w:pPr>
              <w:ind w:left="20"/>
              <w:spacing w:after="0" w:line="196" w:lineRule="exact"/>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7"/>
                <w:szCs w:val="17"/>
                <w:color w:val="auto"/>
              </w:rPr>
            </w:pPr>
          </w:p>
        </w:tc>
        <w:tc>
          <w:tcPr>
            <w:tcW w:w="120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(154 )</w:t>
            </w:r>
          </w:p>
        </w:tc>
        <w:tc>
          <w:tcPr>
            <w:tcW w:w="220" w:type="dxa"/>
            <w:vAlign w:val="bottom"/>
          </w:tcPr>
          <w:p>
            <w:pPr>
              <w:spacing w:after="0"/>
              <w:rPr>
                <w:sz w:val="17"/>
                <w:szCs w:val="17"/>
                <w:color w:val="auto"/>
              </w:rPr>
            </w:pP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(24 )</w:t>
            </w:r>
          </w:p>
        </w:tc>
        <w:tc>
          <w:tcPr>
            <w:tcW w:w="200" w:type="dxa"/>
            <w:vAlign w:val="bottom"/>
          </w:tcPr>
          <w:p>
            <w:pPr>
              <w:spacing w:after="0"/>
              <w:rPr>
                <w:sz w:val="17"/>
                <w:szCs w:val="17"/>
                <w:color w:val="auto"/>
              </w:rPr>
            </w:pPr>
          </w:p>
        </w:tc>
        <w:tc>
          <w:tcPr>
            <w:tcW w:w="11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(402 )</w:t>
            </w:r>
          </w:p>
        </w:tc>
        <w:tc>
          <w:tcPr>
            <w:tcW w:w="22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(63 )</w:t>
            </w:r>
          </w:p>
        </w:tc>
      </w:tr>
      <w:tr>
        <w:trPr>
          <w:trHeight w:val="236"/>
        </w:trPr>
        <w:tc>
          <w:tcPr>
            <w:tcW w:w="59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(20,078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(29,842</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(55,941</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(57,555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83"/>
        </w:trPr>
        <w:tc>
          <w:tcPr>
            <w:tcW w:w="590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jc w:val="right"/>
              <w:ind w:right="10"/>
              <w:spacing w:after="0" w:line="183"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21"/>
              <w:spacing w:after="0" w:line="183" w:lineRule="exact"/>
              <w:rPr>
                <w:sz w:val="20"/>
                <w:szCs w:val="20"/>
                <w:color w:val="auto"/>
              </w:rPr>
            </w:pPr>
            <w:r>
              <w:rPr>
                <w:rFonts w:ascii="Arial" w:cs="Arial" w:eastAsia="Arial" w:hAnsi="Arial"/>
                <w:sz w:val="18"/>
                <w:szCs w:val="18"/>
                <w:color w:val="auto"/>
              </w:rPr>
              <w:t>(0.47 )</w:t>
            </w:r>
          </w:p>
        </w:tc>
        <w:tc>
          <w:tcPr>
            <w:tcW w:w="220" w:type="dxa"/>
            <w:vAlign w:val="bottom"/>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
              <w:spacing w:after="0" w:line="183" w:lineRule="exact"/>
              <w:rPr>
                <w:sz w:val="20"/>
                <w:szCs w:val="20"/>
                <w:color w:val="auto"/>
              </w:rPr>
            </w:pPr>
            <w:r>
              <w:rPr>
                <w:rFonts w:ascii="Arial" w:cs="Arial" w:eastAsia="Arial" w:hAnsi="Arial"/>
                <w:sz w:val="18"/>
                <w:szCs w:val="18"/>
                <w:color w:val="auto"/>
              </w:rPr>
              <w:t>(0.79 )</w:t>
            </w:r>
          </w:p>
        </w:tc>
        <w:tc>
          <w:tcPr>
            <w:tcW w:w="200" w:type="dxa"/>
            <w:vAlign w:val="bottom"/>
          </w:tcPr>
          <w:p>
            <w:pPr>
              <w:jc w:val="right"/>
              <w:spacing w:after="0" w:line="183"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(1.30 )</w:t>
            </w:r>
          </w:p>
        </w:tc>
        <w:tc>
          <w:tcPr>
            <w:tcW w:w="220" w:type="dxa"/>
            <w:vAlign w:val="bottom"/>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(1.53 )</w:t>
            </w:r>
          </w:p>
        </w:tc>
      </w:tr>
      <w:tr>
        <w:trPr>
          <w:trHeight w:val="203"/>
        </w:trPr>
        <w:tc>
          <w:tcPr>
            <w:tcW w:w="5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shares of common stock, basic and diluted</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42,665,598</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37,619,039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42,590,479</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37,526,650</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-1624965</wp:posOffset>
            </wp:positionV>
            <wp:extent cx="768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-1624965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-1624965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-1624965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-1350645</wp:posOffset>
            </wp:positionV>
            <wp:extent cx="768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-1350645</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-1350645</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-1350645</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-1085215</wp:posOffset>
            </wp:positionV>
            <wp:extent cx="7683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-1085215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-1085215</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-1085215</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-553720</wp:posOffset>
            </wp:positionV>
            <wp:extent cx="7683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-553720</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-553720</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-553720</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-282575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-264795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-282575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-264795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-282575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-264795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179"/>
              <w:spacing w:after="0"/>
              <w:rPr>
                <w:sz w:val="20"/>
                <w:szCs w:val="20"/>
                <w:color w:val="auto"/>
              </w:rPr>
            </w:pPr>
            <w:r>
              <w:rPr>
                <w:rFonts w:ascii="Arial" w:cs="Arial" w:eastAsia="Arial" w:hAnsi="Arial"/>
                <w:sz w:val="14"/>
                <w:szCs w:val="14"/>
                <w:b w:val="1"/>
                <w:bCs w:val="1"/>
                <w:color w:val="auto"/>
              </w:rPr>
              <w:t>Three Months Ended June 30, 2022</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340" w:type="dxa"/>
            <w:vAlign w:val="bottom"/>
            <w:gridSpan w:val="3"/>
            <w:vMerge w:val="restart"/>
          </w:tcPr>
          <w:p>
            <w:pPr>
              <w:jc w:val="right"/>
              <w:ind w:right="50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299"/>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23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1080" w:type="dxa"/>
            <w:vAlign w:val="bottom"/>
          </w:tcPr>
          <w:p>
            <w:pPr>
              <w:jc w:val="right"/>
              <w:ind w:right="261"/>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26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as of March 31, 2022</w:t>
            </w:r>
          </w:p>
        </w:tc>
        <w:tc>
          <w:tcPr>
            <w:tcW w:w="10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42,695,195</w:t>
            </w:r>
          </w:p>
        </w:tc>
        <w:tc>
          <w:tcPr>
            <w:tcW w:w="24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jc w:val="right"/>
              <w:ind w:right="842"/>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491,365</w:t>
            </w:r>
          </w:p>
        </w:tc>
        <w:tc>
          <w:tcPr>
            <w:tcW w:w="2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(338,687</w:t>
            </w:r>
          </w:p>
        </w:tc>
        <w:tc>
          <w:tcPr>
            <w:tcW w:w="2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204</w:t>
            </w: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152,886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41"/>
        </w:trPr>
        <w:tc>
          <w:tcPr>
            <w:tcW w:w="2620" w:type="dxa"/>
            <w:vAlign w:val="bottom"/>
          </w:tcPr>
          <w:p>
            <w:pPr>
              <w:ind w:left="20"/>
              <w:spacing w:after="0"/>
              <w:rPr>
                <w:sz w:val="20"/>
                <w:szCs w:val="20"/>
                <w:color w:val="auto"/>
              </w:rPr>
            </w:pPr>
            <w:r>
              <w:rPr>
                <w:rFonts w:ascii="Arial" w:cs="Arial" w:eastAsia="Arial" w:hAnsi="Arial"/>
                <w:sz w:val="16"/>
                <w:szCs w:val="16"/>
                <w:color w:val="auto"/>
              </w:rPr>
              <w:t>Issuance of common stock upon</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625</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62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Issuance of common stock related</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112,468</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 ESPP purchase</w:t>
            </w:r>
          </w:p>
        </w:tc>
        <w:tc>
          <w:tcPr>
            <w:tcW w:w="10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
              <w:spacing w:after="0" w:line="152" w:lineRule="exact"/>
              <w:rPr>
                <w:sz w:val="20"/>
                <w:szCs w:val="20"/>
                <w:color w:val="auto"/>
              </w:rPr>
            </w:pPr>
            <w:r>
              <w:rPr>
                <w:rFonts w:ascii="Arial" w:cs="Arial" w:eastAsia="Arial" w:hAnsi="Arial"/>
                <w:sz w:val="16"/>
                <w:szCs w:val="16"/>
                <w:color w:val="auto"/>
              </w:rPr>
              <w:t>Stock-based compensation expense</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3,554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3,554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20" w:type="dxa"/>
            <w:vAlign w:val="bottom"/>
          </w:tcPr>
          <w:p>
            <w:pPr>
              <w:ind w:left="20"/>
              <w:spacing w:after="0"/>
              <w:rPr>
                <w:sz w:val="20"/>
                <w:szCs w:val="20"/>
                <w:color w:val="auto"/>
              </w:rPr>
            </w:pPr>
            <w:r>
              <w:rPr>
                <w:rFonts w:ascii="Arial" w:cs="Arial" w:eastAsia="Arial" w:hAnsi="Arial"/>
                <w:sz w:val="16"/>
                <w:szCs w:val="16"/>
                <w:color w:val="auto"/>
              </w:rPr>
              <w:t>related to employee stock awards</w:t>
            </w: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Stock-based compensation expense</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447</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related to employee stock purchases</w:t>
            </w:r>
          </w:p>
        </w:tc>
        <w:tc>
          <w:tcPr>
            <w:tcW w:w="10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
              <w:spacing w:after="0" w:line="152" w:lineRule="exact"/>
              <w:rPr>
                <w:sz w:val="20"/>
                <w:szCs w:val="20"/>
                <w:color w:val="auto"/>
              </w:rPr>
            </w:pPr>
            <w:r>
              <w:rPr>
                <w:rFonts w:ascii="Arial" w:cs="Arial" w:eastAsia="Arial" w:hAnsi="Arial"/>
                <w:sz w:val="16"/>
                <w:szCs w:val="16"/>
                <w:color w:val="auto"/>
              </w:rPr>
              <w:t>Vesting of early exercised</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20" w:type="dxa"/>
            <w:vAlign w:val="bottom"/>
          </w:tcPr>
          <w:p>
            <w:pPr>
              <w:ind w:left="140"/>
              <w:spacing w:after="0"/>
              <w:rPr>
                <w:sz w:val="20"/>
                <w:szCs w:val="20"/>
                <w:color w:val="auto"/>
              </w:rPr>
            </w:pPr>
            <w:r>
              <w:rPr>
                <w:rFonts w:ascii="Arial" w:cs="Arial" w:eastAsia="Arial" w:hAnsi="Arial"/>
                <w:sz w:val="16"/>
                <w:szCs w:val="16"/>
                <w:color w:val="auto"/>
              </w:rPr>
              <w:t>common stock options</w:t>
            </w: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(154 )</w:t>
            </w:r>
          </w:p>
        </w:tc>
        <w:tc>
          <w:tcPr>
            <w:tcW w:w="1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(19,924 )</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(19,924 )</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as of June 30, 2022</w:t>
            </w: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42,808,288</w:t>
            </w:r>
          </w:p>
        </w:tc>
        <w:tc>
          <w:tcPr>
            <w:tcW w:w="2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42"/>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495,538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(358,611</w:t>
            </w:r>
          </w:p>
        </w:tc>
        <w:tc>
          <w:tcPr>
            <w:tcW w:w="220" w:type="dxa"/>
            <w:vAlign w:val="bottom"/>
            <w:tcBorders>
              <w:bottom w:val="single" w:sz="8" w:color="CFF0FC"/>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136,981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6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b w:val="1"/>
                <w:bCs w:val="1"/>
                <w:color w:val="auto"/>
              </w:rPr>
              <w:t>Six Months Ended June 30, 2022</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340" w:type="dxa"/>
            <w:vAlign w:val="bottom"/>
            <w:gridSpan w:val="3"/>
            <w:vMerge w:val="restart"/>
          </w:tcPr>
          <w:p>
            <w:pPr>
              <w:jc w:val="right"/>
              <w:ind w:right="50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299"/>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23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1080" w:type="dxa"/>
            <w:vAlign w:val="bottom"/>
          </w:tcPr>
          <w:p>
            <w:pPr>
              <w:jc w:val="right"/>
              <w:ind w:right="261"/>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26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as of December 31, 2021</w:t>
            </w:r>
          </w:p>
        </w:tc>
        <w:tc>
          <w:tcPr>
            <w:tcW w:w="10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42,690,229</w:t>
            </w:r>
          </w:p>
        </w:tc>
        <w:tc>
          <w:tcPr>
            <w:tcW w:w="24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jc w:val="right"/>
              <w:ind w:right="842"/>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487,347</w:t>
            </w:r>
          </w:p>
        </w:tc>
        <w:tc>
          <w:tcPr>
            <w:tcW w:w="2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(303,072</w:t>
            </w:r>
          </w:p>
        </w:tc>
        <w:tc>
          <w:tcPr>
            <w:tcW w:w="2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452</w:t>
            </w: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184,731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41"/>
        </w:trPr>
        <w:tc>
          <w:tcPr>
            <w:tcW w:w="2620" w:type="dxa"/>
            <w:vAlign w:val="bottom"/>
          </w:tcPr>
          <w:p>
            <w:pPr>
              <w:ind w:left="20"/>
              <w:spacing w:after="0"/>
              <w:rPr>
                <w:sz w:val="20"/>
                <w:szCs w:val="20"/>
                <w:color w:val="auto"/>
              </w:rPr>
            </w:pPr>
            <w:r>
              <w:rPr>
                <w:rFonts w:ascii="Arial" w:cs="Arial" w:eastAsia="Arial" w:hAnsi="Arial"/>
                <w:sz w:val="16"/>
                <w:szCs w:val="16"/>
                <w:color w:val="auto"/>
              </w:rPr>
              <w:t>Issuance of common stock upon</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5,591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62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Issuance of common stock related</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112,468</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 ESPP purchase</w:t>
            </w:r>
          </w:p>
        </w:tc>
        <w:tc>
          <w:tcPr>
            <w:tcW w:w="10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
              <w:spacing w:after="0" w:line="152" w:lineRule="exact"/>
              <w:rPr>
                <w:sz w:val="20"/>
                <w:szCs w:val="20"/>
                <w:color w:val="auto"/>
              </w:rPr>
            </w:pPr>
            <w:r>
              <w:rPr>
                <w:rFonts w:ascii="Arial" w:cs="Arial" w:eastAsia="Arial" w:hAnsi="Arial"/>
                <w:sz w:val="16"/>
                <w:szCs w:val="16"/>
                <w:color w:val="auto"/>
              </w:rPr>
              <w:t>Stock-based compensation</w:t>
            </w: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140"/>
              <w:spacing w:after="0" w:line="162" w:lineRule="exact"/>
              <w:rPr>
                <w:sz w:val="20"/>
                <w:szCs w:val="20"/>
                <w:color w:val="auto"/>
              </w:rPr>
            </w:pPr>
            <w:r>
              <w:rPr>
                <w:rFonts w:ascii="Arial" w:cs="Arial" w:eastAsia="Arial" w:hAnsi="Arial"/>
                <w:sz w:val="16"/>
                <w:szCs w:val="16"/>
                <w:color w:val="auto"/>
              </w:rPr>
              <w:t>expense related to employee</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7,034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7,034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20" w:type="dxa"/>
            <w:vAlign w:val="bottom"/>
          </w:tcPr>
          <w:p>
            <w:pPr>
              <w:ind w:left="140"/>
              <w:spacing w:after="0"/>
              <w:rPr>
                <w:sz w:val="20"/>
                <w:szCs w:val="20"/>
                <w:color w:val="auto"/>
              </w:rPr>
            </w:pPr>
            <w:r>
              <w:rPr>
                <w:rFonts w:ascii="Arial" w:cs="Arial" w:eastAsia="Arial" w:hAnsi="Arial"/>
                <w:sz w:val="16"/>
                <w:szCs w:val="16"/>
                <w:color w:val="auto"/>
              </w:rPr>
              <w:t>stock awards</w:t>
            </w: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ind w:left="140"/>
              <w:spacing w:after="0" w:line="162" w:lineRule="exact"/>
              <w:rPr>
                <w:sz w:val="20"/>
                <w:szCs w:val="20"/>
                <w:color w:val="auto"/>
              </w:rPr>
            </w:pPr>
            <w:r>
              <w:rPr>
                <w:rFonts w:ascii="Arial" w:cs="Arial" w:eastAsia="Arial" w:hAnsi="Arial"/>
                <w:sz w:val="16"/>
                <w:szCs w:val="16"/>
                <w:color w:val="auto"/>
              </w:rPr>
              <w:t>expense related to employee</w:t>
            </w: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891</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stock purchases</w:t>
            </w: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
              <w:spacing w:after="0" w:line="152" w:lineRule="exact"/>
              <w:rPr>
                <w:sz w:val="20"/>
                <w:szCs w:val="20"/>
                <w:color w:val="auto"/>
              </w:rPr>
            </w:pPr>
            <w:r>
              <w:rPr>
                <w:rFonts w:ascii="Arial" w:cs="Arial" w:eastAsia="Arial" w:hAnsi="Arial"/>
                <w:sz w:val="16"/>
                <w:szCs w:val="16"/>
                <w:color w:val="auto"/>
              </w:rPr>
              <w:t>Vesting of early exercised</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20" w:type="dxa"/>
            <w:vAlign w:val="bottom"/>
          </w:tcPr>
          <w:p>
            <w:pPr>
              <w:ind w:left="140"/>
              <w:spacing w:after="0"/>
              <w:rPr>
                <w:sz w:val="20"/>
                <w:szCs w:val="20"/>
                <w:color w:val="auto"/>
              </w:rPr>
            </w:pPr>
            <w:r>
              <w:rPr>
                <w:rFonts w:ascii="Arial" w:cs="Arial" w:eastAsia="Arial" w:hAnsi="Arial"/>
                <w:sz w:val="16"/>
                <w:szCs w:val="16"/>
                <w:color w:val="auto"/>
              </w:rPr>
              <w:t>common stock options</w:t>
            </w: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(402 )</w:t>
            </w:r>
          </w:p>
        </w:tc>
        <w:tc>
          <w:tcPr>
            <w:tcW w:w="1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(402 )</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(55,539 )</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(55,539 )</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as of June 30, 2022</w:t>
            </w: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42,808,288</w:t>
            </w:r>
          </w:p>
        </w:tc>
        <w:tc>
          <w:tcPr>
            <w:tcW w:w="2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42"/>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495,538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(358,611</w:t>
            </w:r>
          </w:p>
        </w:tc>
        <w:tc>
          <w:tcPr>
            <w:tcW w:w="220" w:type="dxa"/>
            <w:vAlign w:val="bottom"/>
            <w:tcBorders>
              <w:bottom w:val="single" w:sz="8" w:color="CFF0FC"/>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136,981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-2639695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-2622550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-2639695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-2622550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-2639695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-2622550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-2639695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-2622550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-2639695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-2622550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-25400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-8255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-25400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399"/>
              <w:spacing w:after="0"/>
              <w:rPr>
                <w:sz w:val="20"/>
                <w:szCs w:val="20"/>
                <w:color w:val="auto"/>
              </w:rPr>
            </w:pPr>
            <w:r>
              <w:rPr>
                <w:rFonts w:ascii="Arial" w:cs="Arial" w:eastAsia="Arial" w:hAnsi="Arial"/>
                <w:sz w:val="14"/>
                <w:szCs w:val="14"/>
                <w:b w:val="1"/>
                <w:bCs w:val="1"/>
                <w:color w:val="auto"/>
              </w:rPr>
              <w:t>Three Months Ended June 30, 2021</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3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3"/>
            <w:vMerge w:val="restart"/>
          </w:tcPr>
          <w:p>
            <w:pPr>
              <w:jc w:val="right"/>
              <w:ind w:right="56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23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30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82"/>
              <w:spacing w:after="0"/>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c>
          <w:tcPr>
            <w:tcW w:w="12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11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of March 31, 2021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38,147,205</w:t>
            </w:r>
          </w:p>
        </w:tc>
        <w:tc>
          <w:tcPr>
            <w:tcW w:w="1240" w:type="dxa"/>
            <w:vAlign w:val="bottom"/>
            <w:gridSpan w:val="2"/>
            <w:shd w:val="clear" w:color="auto" w:fill="CFF0FC"/>
          </w:tcPr>
          <w:p>
            <w:pPr>
              <w:jc w:val="right"/>
              <w:ind w:right="824"/>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397,857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(202,414 )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(227 )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195,220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4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upon</w:t>
            </w: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auto"/>
              </w:rPr>
              <w:t>52,916</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94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13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40" w:type="dxa"/>
            <w:vAlign w:val="bottom"/>
          </w:tcPr>
          <w:p>
            <w:pPr>
              <w:ind w:left="20"/>
              <w:spacing w:after="0" w:line="152" w:lineRule="exact"/>
              <w:rPr>
                <w:sz w:val="20"/>
                <w:szCs w:val="20"/>
                <w:color w:val="auto"/>
              </w:rPr>
            </w:pPr>
            <w:r>
              <w:rPr>
                <w:rFonts w:ascii="Arial" w:cs="Arial" w:eastAsia="Arial" w:hAnsi="Arial"/>
                <w:sz w:val="16"/>
                <w:szCs w:val="16"/>
                <w:color w:val="auto"/>
              </w:rPr>
              <w:t>Vesting of early exercised</w:t>
            </w: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940" w:type="dxa"/>
            <w:vAlign w:val="bottom"/>
          </w:tcPr>
          <w:p>
            <w:pPr>
              <w:ind w:left="140"/>
              <w:spacing w:after="0"/>
              <w:rPr>
                <w:sz w:val="20"/>
                <w:szCs w:val="20"/>
                <w:color w:val="auto"/>
              </w:rPr>
            </w:pPr>
            <w:r>
              <w:rPr>
                <w:rFonts w:ascii="Arial" w:cs="Arial" w:eastAsia="Arial" w:hAnsi="Arial"/>
                <w:sz w:val="16"/>
                <w:szCs w:val="16"/>
                <w:color w:val="auto"/>
              </w:rPr>
              <w:t>common stock options</w:t>
            </w:r>
          </w:p>
        </w:tc>
        <w:tc>
          <w:tcPr>
            <w:tcW w:w="13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6"/>
                <w:szCs w:val="16"/>
                <w:color w:val="auto"/>
              </w:rPr>
              <w:t>(29,818 )</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(29,818 )</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as of June 30, 2021</w:t>
            </w:r>
          </w:p>
        </w:tc>
        <w:tc>
          <w:tcPr>
            <w:tcW w:w="1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38,200,121</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24"/>
              <w:spacing w:after="0" w:line="183" w:lineRule="exact"/>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401,363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(232,232</w:t>
            </w:r>
          </w:p>
        </w:tc>
        <w:tc>
          <w:tcPr>
            <w:tcW w:w="200" w:type="dxa"/>
            <w:vAlign w:val="bottom"/>
            <w:tcBorders>
              <w:bottom w:val="single" w:sz="8" w:color="CFF0FC"/>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(251</w:t>
            </w:r>
          </w:p>
        </w:tc>
        <w:tc>
          <w:tcPr>
            <w:tcW w:w="220" w:type="dxa"/>
            <w:vAlign w:val="bottom"/>
            <w:tcBorders>
              <w:bottom w:val="single" w:sz="8" w:color="CFF0FC"/>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168,884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Six Months Ended June 30, 2021</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3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3"/>
            <w:vMerge w:val="restart"/>
          </w:tcPr>
          <w:p>
            <w:pPr>
              <w:jc w:val="right"/>
              <w:ind w:right="56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23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30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82"/>
              <w:spacing w:after="0"/>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340" w:type="dxa"/>
            <w:vAlign w:val="bottom"/>
            <w:gridSpan w:val="2"/>
          </w:tcPr>
          <w:p>
            <w:pPr>
              <w:spacing w:after="0"/>
              <w:rPr>
                <w:sz w:val="19"/>
                <w:szCs w:val="19"/>
                <w:color w:val="auto"/>
              </w:rPr>
            </w:pPr>
          </w:p>
        </w:tc>
        <w:tc>
          <w:tcPr>
            <w:tcW w:w="124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1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of December 31, 2020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38,120,606</w:t>
            </w:r>
          </w:p>
        </w:tc>
        <w:tc>
          <w:tcPr>
            <w:tcW w:w="1240" w:type="dxa"/>
            <w:vAlign w:val="bottom"/>
            <w:gridSpan w:val="2"/>
            <w:shd w:val="clear" w:color="auto" w:fill="CFF0FC"/>
          </w:tcPr>
          <w:p>
            <w:pPr>
              <w:jc w:val="right"/>
              <w:ind w:right="824"/>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394,963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(174,740 )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(188 )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220,039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4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Issuance of common stock upon</w:t>
            </w:r>
          </w:p>
        </w:tc>
        <w:tc>
          <w:tcPr>
            <w:tcW w:w="13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79,515</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exercise of stock options</w:t>
            </w:r>
          </w:p>
        </w:tc>
        <w:tc>
          <w:tcPr>
            <w:tcW w:w="134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5,965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4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Vesting of early exercised</w:t>
            </w:r>
          </w:p>
        </w:tc>
        <w:tc>
          <w:tcPr>
            <w:tcW w:w="13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common stock options</w:t>
            </w:r>
          </w:p>
        </w:tc>
        <w:tc>
          <w:tcPr>
            <w:tcW w:w="134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(57,492 )</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(57,492 )</w:t>
            </w:r>
          </w:p>
        </w:tc>
        <w:tc>
          <w:tcPr>
            <w:tcW w:w="0" w:type="dxa"/>
            <w:vAlign w:val="bottom"/>
          </w:tcPr>
          <w:p>
            <w:pPr>
              <w:spacing w:after="0"/>
              <w:rPr>
                <w:sz w:val="1"/>
                <w:szCs w:val="1"/>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Pr>
          <w:p>
            <w:pPr>
              <w:ind w:left="20"/>
              <w:spacing w:after="0" w:line="183" w:lineRule="exact"/>
              <w:rPr>
                <w:sz w:val="20"/>
                <w:szCs w:val="20"/>
                <w:color w:val="auto"/>
              </w:rPr>
            </w:pPr>
            <w:r>
              <w:rPr>
                <w:rFonts w:ascii="Arial" w:cs="Arial" w:eastAsia="Arial" w:hAnsi="Arial"/>
                <w:sz w:val="16"/>
                <w:szCs w:val="16"/>
                <w:color w:val="auto"/>
              </w:rPr>
              <w:t>Balance as of June 30, 2021</w:t>
            </w:r>
          </w:p>
        </w:tc>
        <w:tc>
          <w:tcPr>
            <w:tcW w:w="12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38,200,121</w:t>
            </w:r>
          </w:p>
        </w:tc>
        <w:tc>
          <w:tcPr>
            <w:tcW w:w="240" w:type="dxa"/>
            <w:vAlign w:val="bottom"/>
          </w:tcPr>
          <w:p>
            <w:pPr>
              <w:spacing w:after="0"/>
              <w:rPr>
                <w:sz w:val="15"/>
                <w:szCs w:val="15"/>
                <w:color w:val="auto"/>
              </w:rPr>
            </w:pPr>
          </w:p>
        </w:tc>
        <w:tc>
          <w:tcPr>
            <w:tcW w:w="1000" w:type="dxa"/>
            <w:vAlign w:val="bottom"/>
          </w:tcPr>
          <w:p>
            <w:pPr>
              <w:jc w:val="right"/>
              <w:ind w:right="824"/>
              <w:spacing w:after="0" w:line="183" w:lineRule="exact"/>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c>
          <w:tcPr>
            <w:tcW w:w="240" w:type="dxa"/>
            <w:vAlign w:val="bottom"/>
          </w:tcPr>
          <w:p>
            <w:pPr>
              <w:spacing w:after="0"/>
              <w:rPr>
                <w:sz w:val="15"/>
                <w:szCs w:val="15"/>
                <w:color w:val="auto"/>
              </w:rPr>
            </w:pPr>
          </w:p>
        </w:tc>
        <w:tc>
          <w:tcPr>
            <w:tcW w:w="16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401,363</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(232,232 )</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(251 )</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168,884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-2099945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-2082165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-2099945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-2082165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-2099945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-2082165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-2099945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-2082165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-2099945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-2082165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-150495</wp:posOffset>
            </wp:positionV>
            <wp:extent cx="768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-150495</wp:posOffset>
            </wp:positionV>
            <wp:extent cx="7747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-150495</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-150495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-150495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jc w:val="center"/>
        <w:ind w:right="40"/>
        <w:spacing w:after="0"/>
        <w:rPr>
          <w:sz w:val="20"/>
          <w:szCs w:val="20"/>
          <w:color w:val="auto"/>
        </w:rPr>
      </w:pPr>
      <w:r>
        <w:rPr>
          <w:rFonts w:ascii="Arial" w:cs="Arial" w:eastAsia="Arial" w:hAnsi="Arial"/>
          <w:sz w:val="18"/>
          <w:szCs w:val="18"/>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8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7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(55,539 )</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(57,492 )</w:t>
            </w: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380"/>
              <w:spacing w:after="0" w:line="202" w:lineRule="exact"/>
              <w:rPr>
                <w:sz w:val="20"/>
                <w:szCs w:val="20"/>
                <w:color w:val="auto"/>
              </w:rPr>
            </w:pPr>
            <w:r>
              <w:rPr>
                <w:rFonts w:ascii="Arial" w:cs="Arial" w:eastAsia="Arial" w:hAnsi="Arial"/>
                <w:sz w:val="18"/>
                <w:szCs w:val="18"/>
                <w:color w:val="auto"/>
              </w:rPr>
              <w:t>Accretion of discount on investments</w:t>
            </w:r>
          </w:p>
        </w:tc>
        <w:tc>
          <w:tcPr>
            <w:tcW w:w="360" w:type="dxa"/>
            <w:vAlign w:val="bottom"/>
          </w:tcPr>
          <w:p>
            <w:pPr>
              <w:spacing w:after="0"/>
              <w:rPr>
                <w:sz w:val="17"/>
                <w:szCs w:val="17"/>
                <w:color w:val="auto"/>
              </w:rPr>
            </w:pP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(15 )</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of right of use assets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626</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w:t>
            </w: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380"/>
              <w:spacing w:after="0" w:line="202" w:lineRule="exact"/>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1,246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1,511</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Stock-based compensation including ESPP</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7,786</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6,205</w:t>
            </w: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3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Other assets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5,595</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(221 )</w:t>
            </w:r>
          </w:p>
        </w:tc>
      </w:tr>
      <w:tr>
        <w:trPr>
          <w:trHeight w:val="203"/>
        </w:trPr>
        <w:tc>
          <w:tcPr>
            <w:tcW w:w="7820" w:type="dxa"/>
            <w:vAlign w:val="bottom"/>
          </w:tcPr>
          <w:p>
            <w:pPr>
              <w:ind w:left="560"/>
              <w:spacing w:after="0" w:line="202" w:lineRule="exact"/>
              <w:rPr>
                <w:sz w:val="20"/>
                <w:szCs w:val="20"/>
                <w:color w:val="auto"/>
              </w:rPr>
            </w:pPr>
            <w:r>
              <w:rPr>
                <w:rFonts w:ascii="Arial" w:cs="Arial" w:eastAsia="Arial" w:hAnsi="Arial"/>
                <w:sz w:val="18"/>
                <w:szCs w:val="18"/>
                <w:color w:val="auto"/>
              </w:rPr>
              <w:t>Right of use assets</w:t>
            </w:r>
          </w:p>
        </w:tc>
        <w:tc>
          <w:tcPr>
            <w:tcW w:w="360" w:type="dxa"/>
            <w:vAlign w:val="bottom"/>
          </w:tcPr>
          <w:p>
            <w:pPr>
              <w:spacing w:after="0"/>
              <w:rPr>
                <w:sz w:val="17"/>
                <w:szCs w:val="17"/>
                <w:color w:val="auto"/>
              </w:rPr>
            </w:pP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(278 )</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(253 )</w:t>
            </w: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(1,834 )</w:t>
            </w:r>
          </w:p>
        </w:tc>
      </w:tr>
      <w:tr>
        <w:trPr>
          <w:trHeight w:val="203"/>
        </w:trPr>
        <w:tc>
          <w:tcPr>
            <w:tcW w:w="7820" w:type="dxa"/>
            <w:vAlign w:val="bottom"/>
          </w:tcPr>
          <w:p>
            <w:pPr>
              <w:ind w:left="560"/>
              <w:spacing w:after="0" w:line="202" w:lineRule="exact"/>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7"/>
                <w:szCs w:val="17"/>
                <w:color w:val="auto"/>
              </w:rPr>
            </w:pP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(12,425 )</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1,862</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(957 )</w:t>
            </w: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(626 )</w:t>
            </w:r>
          </w:p>
        </w:tc>
      </w:tr>
      <w:tr>
        <w:trPr>
          <w:trHeight w:val="203"/>
        </w:trPr>
        <w:tc>
          <w:tcPr>
            <w:tcW w:w="7820" w:type="dxa"/>
            <w:vAlign w:val="bottom"/>
          </w:tcPr>
          <w:p>
            <w:pPr>
              <w:ind w:left="560"/>
              <w:spacing w:after="0" w:line="202" w:lineRule="exact"/>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(112 )</w:t>
            </w:r>
          </w:p>
        </w:tc>
      </w:tr>
      <w:tr>
        <w:trPr>
          <w:trHeight w:val="203"/>
        </w:trPr>
        <w:tc>
          <w:tcPr>
            <w:tcW w:w="78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Deferred revenue from collaborations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8,745</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(2,455 )</w:t>
            </w:r>
          </w:p>
        </w:tc>
      </w:tr>
      <w:tr>
        <w:trPr>
          <w:trHeight w:val="20"/>
        </w:trPr>
        <w:tc>
          <w:tcPr>
            <w:tcW w:w="78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820" w:type="dxa"/>
            <w:vAlign w:val="bottom"/>
          </w:tcPr>
          <w:p>
            <w:pPr>
              <w:ind w:left="740"/>
              <w:spacing w:after="0" w:line="196" w:lineRule="exact"/>
              <w:rPr>
                <w:sz w:val="20"/>
                <w:szCs w:val="20"/>
                <w:color w:val="auto"/>
              </w:rPr>
            </w:pPr>
            <w:r>
              <w:rPr>
                <w:rFonts w:ascii="Arial" w:cs="Arial" w:eastAsia="Arial" w:hAnsi="Arial"/>
                <w:sz w:val="18"/>
                <w:szCs w:val="18"/>
                <w:color w:val="auto"/>
              </w:rPr>
              <w:t>Net cash and cash equivalents used in operating activities</w:t>
            </w:r>
          </w:p>
        </w:tc>
        <w:tc>
          <w:tcPr>
            <w:tcW w:w="360" w:type="dxa"/>
            <w:vAlign w:val="bottom"/>
          </w:tcPr>
          <w:p>
            <w:pPr>
              <w:spacing w:after="0"/>
              <w:rPr>
                <w:sz w:val="17"/>
                <w:szCs w:val="17"/>
                <w:color w:val="auto"/>
              </w:rPr>
            </w:pPr>
          </w:p>
        </w:tc>
        <w:tc>
          <w:tcPr>
            <w:tcW w:w="14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(45,469 )</w:t>
            </w:r>
          </w:p>
        </w:tc>
        <w:tc>
          <w:tcPr>
            <w:tcW w:w="360" w:type="dxa"/>
            <w:vAlign w:val="bottom"/>
          </w:tcPr>
          <w:p>
            <w:pPr>
              <w:spacing w:after="0"/>
              <w:rPr>
                <w:sz w:val="17"/>
                <w:szCs w:val="17"/>
                <w:color w:val="auto"/>
              </w:rPr>
            </w:pPr>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(52,814 )</w:t>
            </w:r>
          </w:p>
        </w:tc>
      </w:tr>
      <w:tr>
        <w:trPr>
          <w:trHeight w:val="196"/>
        </w:trPr>
        <w:tc>
          <w:tcPr>
            <w:tcW w:w="7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investing activities:</w:t>
            </w:r>
          </w:p>
        </w:tc>
        <w:tc>
          <w:tcPr>
            <w:tcW w:w="3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Activities in available-for-sale investments: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Maturities of investments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5,245</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380"/>
              <w:spacing w:after="0" w:line="202" w:lineRule="exact"/>
              <w:rPr>
                <w:sz w:val="20"/>
                <w:szCs w:val="20"/>
                <w:color w:val="auto"/>
              </w:rPr>
            </w:pPr>
            <w:r>
              <w:rPr>
                <w:rFonts w:ascii="Arial" w:cs="Arial" w:eastAsia="Arial" w:hAnsi="Arial"/>
                <w:sz w:val="18"/>
                <w:szCs w:val="18"/>
                <w:color w:val="auto"/>
              </w:rPr>
              <w:t>Purchase of short-term investments</w:t>
            </w:r>
          </w:p>
        </w:tc>
        <w:tc>
          <w:tcPr>
            <w:tcW w:w="360" w:type="dxa"/>
            <w:vAlign w:val="bottom"/>
          </w:tcPr>
          <w:p>
            <w:pPr>
              <w:spacing w:after="0"/>
              <w:rPr>
                <w:sz w:val="17"/>
                <w:szCs w:val="17"/>
                <w:color w:val="auto"/>
              </w:rPr>
            </w:pP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(74,776 )</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Activities in held-to-maturity investments: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380"/>
              <w:spacing w:after="0" w:line="202" w:lineRule="exact"/>
              <w:rPr>
                <w:sz w:val="20"/>
                <w:szCs w:val="20"/>
                <w:color w:val="auto"/>
              </w:rPr>
            </w:pPr>
            <w:r>
              <w:rPr>
                <w:rFonts w:ascii="Arial" w:cs="Arial" w:eastAsia="Arial" w:hAnsi="Arial"/>
                <w:sz w:val="18"/>
                <w:szCs w:val="18"/>
                <w:color w:val="auto"/>
              </w:rPr>
              <w:t>Maturities of investments</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(849 )</w:t>
            </w: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(459 )</w:t>
            </w:r>
          </w:p>
        </w:tc>
      </w:tr>
      <w:tr>
        <w:trPr>
          <w:trHeight w:val="20"/>
        </w:trPr>
        <w:tc>
          <w:tcPr>
            <w:tcW w:w="78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820" w:type="dxa"/>
            <w:vAlign w:val="bottom"/>
          </w:tcPr>
          <w:p>
            <w:pPr>
              <w:ind w:left="740"/>
              <w:spacing w:after="0" w:line="196" w:lineRule="exact"/>
              <w:rPr>
                <w:sz w:val="20"/>
                <w:szCs w:val="20"/>
                <w:color w:val="auto"/>
              </w:rPr>
            </w:pPr>
            <w:r>
              <w:rPr>
                <w:rFonts w:ascii="Arial" w:cs="Arial" w:eastAsia="Arial" w:hAnsi="Arial"/>
                <w:sz w:val="18"/>
                <w:szCs w:val="18"/>
                <w:color w:val="auto"/>
              </w:rPr>
              <w:t>Net cash and cash equivalents (used in) provided by investing activities</w:t>
            </w:r>
          </w:p>
        </w:tc>
        <w:tc>
          <w:tcPr>
            <w:tcW w:w="360" w:type="dxa"/>
            <w:vAlign w:val="bottom"/>
          </w:tcPr>
          <w:p>
            <w:pPr>
              <w:spacing w:after="0"/>
              <w:rPr>
                <w:sz w:val="17"/>
                <w:szCs w:val="17"/>
                <w:color w:val="auto"/>
              </w:rPr>
            </w:pPr>
          </w:p>
        </w:tc>
        <w:tc>
          <w:tcPr>
            <w:tcW w:w="14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(70,380 )</w:t>
            </w: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19,541</w:t>
            </w:r>
          </w:p>
        </w:tc>
        <w:tc>
          <w:tcPr>
            <w:tcW w:w="100" w:type="dxa"/>
            <w:vAlign w:val="bottom"/>
          </w:tcPr>
          <w:p>
            <w:pPr>
              <w:spacing w:after="0"/>
              <w:rPr>
                <w:sz w:val="17"/>
                <w:szCs w:val="17"/>
                <w:color w:val="auto"/>
              </w:rPr>
            </w:pPr>
          </w:p>
        </w:tc>
      </w:tr>
      <w:tr>
        <w:trPr>
          <w:trHeight w:val="196"/>
        </w:trPr>
        <w:tc>
          <w:tcPr>
            <w:tcW w:w="7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ESPP purchase</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Payments of deferred offering costs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(99 )</w:t>
            </w: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Payments on finance lease</w:t>
            </w:r>
          </w:p>
        </w:tc>
        <w:tc>
          <w:tcPr>
            <w:tcW w:w="360" w:type="dxa"/>
            <w:vAlign w:val="bottom"/>
          </w:tcPr>
          <w:p>
            <w:pPr>
              <w:spacing w:after="0"/>
              <w:rPr>
                <w:sz w:val="17"/>
                <w:szCs w:val="17"/>
                <w:color w:val="auto"/>
              </w:rPr>
            </w:pP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(60 )</w:t>
            </w:r>
          </w:p>
        </w:tc>
        <w:tc>
          <w:tcPr>
            <w:tcW w:w="36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(37 )</w:t>
            </w:r>
          </w:p>
        </w:tc>
      </w:tr>
      <w:tr>
        <w:trPr>
          <w:trHeight w:val="203"/>
        </w:trPr>
        <w:tc>
          <w:tcPr>
            <w:tcW w:w="78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the exercise of common stock option</w:t>
            </w: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20" w:type="dxa"/>
            <w:vAlign w:val="bottom"/>
          </w:tcPr>
          <w:p>
            <w:pPr>
              <w:ind w:left="740"/>
              <w:spacing w:after="0" w:line="196" w:lineRule="exact"/>
              <w:rPr>
                <w:sz w:val="20"/>
                <w:szCs w:val="20"/>
                <w:color w:val="auto"/>
              </w:rPr>
            </w:pPr>
            <w:r>
              <w:rPr>
                <w:rFonts w:ascii="Arial" w:cs="Arial" w:eastAsia="Arial" w:hAnsi="Arial"/>
                <w:sz w:val="18"/>
                <w:szCs w:val="18"/>
                <w:color w:val="auto"/>
              </w:rPr>
              <w:t>Net cash and cash equivalents provided by financing activities</w:t>
            </w: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(115,787 )</w:t>
            </w: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(33,100 )</w:t>
            </w: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186,980</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220,943</w:t>
            </w:r>
          </w:p>
        </w:tc>
        <w:tc>
          <w:tcPr>
            <w:tcW w:w="100" w:type="dxa"/>
            <w:vAlign w:val="bottom"/>
          </w:tcPr>
          <w:p>
            <w:pPr>
              <w:spacing w:after="0"/>
              <w:rPr>
                <w:sz w:val="17"/>
                <w:szCs w:val="17"/>
                <w:color w:val="auto"/>
              </w:rPr>
            </w:pPr>
          </w:p>
        </w:tc>
      </w:tr>
      <w:tr>
        <w:trPr>
          <w:trHeight w:val="196"/>
        </w:trPr>
        <w:tc>
          <w:tcPr>
            <w:tcW w:w="7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71,193</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187,843</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-2371090</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-2371090</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-1325245</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-1325245</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-536575</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-5080</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jc w:val="center"/>
        <w:ind w:right="40"/>
        <w:spacing w:after="0"/>
        <w:rPr>
          <w:sz w:val="20"/>
          <w:szCs w:val="20"/>
          <w:color w:val="auto"/>
        </w:rPr>
      </w:pPr>
      <w:r>
        <w:rPr>
          <w:rFonts w:ascii="Arial" w:cs="Arial" w:eastAsia="Arial" w:hAnsi="Arial"/>
          <w:sz w:val="18"/>
          <w:szCs w:val="18"/>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7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Reconciliation to amounts on the consolidated balance sheet:</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960" w:type="dxa"/>
            <w:vAlign w:val="bottom"/>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71,172</w:t>
            </w:r>
          </w:p>
        </w:tc>
        <w:tc>
          <w:tcPr>
            <w:tcW w:w="280" w:type="dxa"/>
            <w:vAlign w:val="bottom"/>
          </w:tcPr>
          <w:p>
            <w:pPr>
              <w:spacing w:after="0"/>
              <w:rPr>
                <w:sz w:val="17"/>
                <w:szCs w:val="17"/>
                <w:color w:val="auto"/>
              </w:rPr>
            </w:pPr>
          </w:p>
        </w:tc>
        <w:tc>
          <w:tcPr>
            <w:tcW w:w="900" w:type="dxa"/>
            <w:vAlign w:val="bottom"/>
          </w:tcPr>
          <w:p>
            <w:pPr>
              <w:jc w:val="right"/>
              <w:ind w:right="712"/>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89"/>
              </w:rPr>
              <w:t>187,650</w:t>
            </w:r>
          </w:p>
        </w:tc>
        <w:tc>
          <w:tcPr>
            <w:tcW w:w="100" w:type="dxa"/>
            <w:vAlign w:val="bottom"/>
          </w:tcPr>
          <w:p>
            <w:pPr>
              <w:spacing w:after="0"/>
              <w:rPr>
                <w:sz w:val="17"/>
                <w:szCs w:val="17"/>
                <w:color w:val="auto"/>
              </w:rPr>
            </w:pPr>
          </w:p>
        </w:tc>
      </w:tr>
      <w:tr>
        <w:trPr>
          <w:trHeight w:val="203"/>
        </w:trPr>
        <w:tc>
          <w:tcPr>
            <w:tcW w:w="78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20" w:type="dxa"/>
            <w:vAlign w:val="bottom"/>
          </w:tcPr>
          <w:p>
            <w:pPr>
              <w:ind w:left="2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960" w:type="dxa"/>
            <w:vAlign w:val="bottom"/>
            <w:tcBorders>
              <w:bottom w:val="single" w:sz="8" w:color="auto"/>
            </w:tcBorders>
          </w:tcPr>
          <w:p>
            <w:pPr>
              <w:jc w:val="right"/>
              <w:ind w:right="774"/>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71,193</w:t>
            </w:r>
          </w:p>
        </w:tc>
        <w:tc>
          <w:tcPr>
            <w:tcW w:w="280" w:type="dxa"/>
            <w:vAlign w:val="bottom"/>
          </w:tcPr>
          <w:p>
            <w:pPr>
              <w:spacing w:after="0"/>
              <w:rPr>
                <w:sz w:val="17"/>
                <w:szCs w:val="17"/>
                <w:color w:val="auto"/>
              </w:rPr>
            </w:pPr>
          </w:p>
        </w:tc>
        <w:tc>
          <w:tcPr>
            <w:tcW w:w="900" w:type="dxa"/>
            <w:vAlign w:val="bottom"/>
            <w:tcBorders>
              <w:bottom w:val="single" w:sz="8" w:color="auto"/>
            </w:tcBorders>
          </w:tcPr>
          <w:p>
            <w:pPr>
              <w:jc w:val="right"/>
              <w:ind w:right="712"/>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187,843</w:t>
            </w:r>
          </w:p>
        </w:tc>
        <w:tc>
          <w:tcPr>
            <w:tcW w:w="100" w:type="dxa"/>
            <w:vAlign w:val="bottom"/>
          </w:tcPr>
          <w:p>
            <w:pPr>
              <w:spacing w:after="0"/>
              <w:rPr>
                <w:sz w:val="17"/>
                <w:szCs w:val="17"/>
                <w:color w:val="auto"/>
              </w:rPr>
            </w:pPr>
          </w:p>
        </w:tc>
      </w:tr>
      <w:tr>
        <w:trPr>
          <w:trHeight w:val="196"/>
        </w:trPr>
        <w:tc>
          <w:tcPr>
            <w:tcW w:w="7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Supplemental disclosures of cash flow information:</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160"/>
              <w:spacing w:after="0" w:line="202" w:lineRule="exact"/>
              <w:rPr>
                <w:sz w:val="20"/>
                <w:szCs w:val="20"/>
                <w:color w:val="auto"/>
              </w:rPr>
            </w:pPr>
            <w:r>
              <w:rPr>
                <w:rFonts w:ascii="Arial" w:cs="Arial" w:eastAsia="Arial" w:hAnsi="Arial"/>
                <w:sz w:val="18"/>
                <w:szCs w:val="18"/>
                <w:color w:val="auto"/>
              </w:rPr>
              <w:t>Interest paid</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7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Supplemental disclosures of noncash financing and investing activities:</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160"/>
              <w:spacing w:after="0" w:line="202" w:lineRule="exact"/>
              <w:rPr>
                <w:sz w:val="20"/>
                <w:szCs w:val="20"/>
                <w:color w:val="auto"/>
              </w:rPr>
            </w:pPr>
            <w:r>
              <w:rPr>
                <w:rFonts w:ascii="Arial" w:cs="Arial" w:eastAsia="Arial" w:hAnsi="Arial"/>
                <w:sz w:val="18"/>
                <w:szCs w:val="18"/>
                <w:color w:val="auto"/>
              </w:rPr>
              <w:t>Mark to market adjustment for available-for-sale investments</w:t>
            </w:r>
          </w:p>
        </w:tc>
        <w:tc>
          <w:tcPr>
            <w:tcW w:w="960" w:type="dxa"/>
            <w:vAlign w:val="bottom"/>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(402 )</w:t>
            </w:r>
          </w:p>
        </w:tc>
        <w:tc>
          <w:tcPr>
            <w:tcW w:w="900" w:type="dxa"/>
            <w:vAlign w:val="bottom"/>
          </w:tcPr>
          <w:p>
            <w:pPr>
              <w:jc w:val="right"/>
              <w:ind w:right="712"/>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(66 )</w:t>
            </w:r>
          </w:p>
        </w:tc>
      </w:tr>
      <w:tr>
        <w:trPr>
          <w:trHeight w:val="203"/>
        </w:trPr>
        <w:tc>
          <w:tcPr>
            <w:tcW w:w="78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Acquisition of right of use asset through operating lease obligation</w:t>
            </w:r>
          </w:p>
        </w:tc>
        <w:tc>
          <w:tcPr>
            <w:tcW w:w="960" w:type="dxa"/>
            <w:vAlign w:val="bottom"/>
            <w:shd w:val="clear" w:color="auto" w:fill="CFF0FC"/>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12"/>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160"/>
              <w:spacing w:after="0" w:line="202" w:lineRule="exact"/>
              <w:rPr>
                <w:sz w:val="20"/>
                <w:szCs w:val="20"/>
                <w:color w:val="auto"/>
              </w:rPr>
            </w:pPr>
            <w:r>
              <w:rPr>
                <w:rFonts w:ascii="Arial" w:cs="Arial" w:eastAsia="Arial" w:hAnsi="Arial"/>
                <w:sz w:val="18"/>
                <w:szCs w:val="18"/>
                <w:color w:val="auto"/>
              </w:rPr>
              <w:t>Vesting of early exercised options</w:t>
            </w:r>
          </w:p>
        </w:tc>
        <w:tc>
          <w:tcPr>
            <w:tcW w:w="960" w:type="dxa"/>
            <w:vAlign w:val="bottom"/>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280" w:type="dxa"/>
            <w:vAlign w:val="bottom"/>
          </w:tcPr>
          <w:p>
            <w:pPr>
              <w:spacing w:after="0"/>
              <w:rPr>
                <w:sz w:val="17"/>
                <w:szCs w:val="17"/>
                <w:color w:val="auto"/>
              </w:rPr>
            </w:pPr>
          </w:p>
        </w:tc>
        <w:tc>
          <w:tcPr>
            <w:tcW w:w="900" w:type="dxa"/>
            <w:vAlign w:val="bottom"/>
          </w:tcPr>
          <w:p>
            <w:pPr>
              <w:jc w:val="right"/>
              <w:ind w:right="712"/>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Change in pension obligation</w:t>
            </w:r>
          </w:p>
        </w:tc>
        <w:tc>
          <w:tcPr>
            <w:tcW w:w="960" w:type="dxa"/>
            <w:vAlign w:val="bottom"/>
            <w:shd w:val="clear" w:color="auto" w:fill="CFF0FC"/>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12"/>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r>
      <w:tr>
        <w:trPr>
          <w:trHeight w:val="230"/>
        </w:trPr>
        <w:tc>
          <w:tcPr>
            <w:tcW w:w="7820" w:type="dxa"/>
            <w:vAlign w:val="bottom"/>
          </w:tcPr>
          <w:p>
            <w:pPr>
              <w:ind w:left="160"/>
              <w:spacing w:after="0"/>
              <w:rPr>
                <w:sz w:val="20"/>
                <w:szCs w:val="20"/>
                <w:color w:val="auto"/>
              </w:rPr>
            </w:pPr>
            <w:r>
              <w:rPr>
                <w:rFonts w:ascii="Arial" w:cs="Arial" w:eastAsia="Arial" w:hAnsi="Arial"/>
                <w:sz w:val="18"/>
                <w:szCs w:val="18"/>
                <w:color w:val="auto"/>
              </w:rPr>
              <w:t>Deferred offering costs in AP and accrued liabilities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ind w:right="71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-1454150</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-1454150</wp:posOffset>
            </wp:positionV>
            <wp:extent cx="685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ALIGOS THERAPEUTICS,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253365</wp:posOffset>
            </wp:positionV>
            <wp:extent cx="14230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 w:right="9000" w:hanging="512"/>
        <w:spacing w:after="0" w:line="434" w:lineRule="auto"/>
        <w:tabs>
          <w:tab w:leader="none" w:pos="52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Organization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189"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Aligos is a clinical-stage biopharmaceutical company developing novel therapeutics to address unmet medical needs in viral and liver diseases, including for chronic hepatitis B, coronaviruses and non-alcoholic steatohepatitis (NASH).</w:t>
      </w:r>
    </w:p>
    <w:p>
      <w:pPr>
        <w:spacing w:after="0" w:line="171"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31"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color w:val="auto"/>
        </w:rPr>
        <w:t>On October 20, 2020, the Company closed its initial public offering (IPO) at a public offering price of $15.00 per share for net proceeds of $135.4 million, after deducting underwriting discounts and commissions. On November 5, 2020, the underwriters of the IPO partially exercised their overallotment, resulting in an additional $16.0 million in net proceeds, after deducting underwriting discounts and commissions.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The Company has incurred losses and negative cash flows from operations since its inception. As of June 30, 2022 and December 31, 2021, the Company had an accumulated deficit of $358.6 million and $303.1 million, respectively. Management expects to continue to incur additional substantial losses in the foreseeable future as a result of expanded research and development activities.</w:t>
      </w:r>
    </w:p>
    <w:p>
      <w:pPr>
        <w:spacing w:after="0" w:line="182" w:lineRule="exact"/>
        <w:rPr>
          <w:sz w:val="20"/>
          <w:szCs w:val="20"/>
          <w:color w:val="auto"/>
        </w:rPr>
      </w:pPr>
    </w:p>
    <w:p>
      <w:pPr>
        <w:ind w:right="180" w:firstLine="509"/>
        <w:spacing w:after="0" w:line="276" w:lineRule="auto"/>
        <w:rPr>
          <w:sz w:val="20"/>
          <w:szCs w:val="20"/>
          <w:color w:val="auto"/>
        </w:rPr>
      </w:pPr>
      <w:r>
        <w:rPr>
          <w:rFonts w:ascii="Arial" w:cs="Arial" w:eastAsia="Arial" w:hAnsi="Arial"/>
          <w:sz w:val="16"/>
          <w:szCs w:val="16"/>
          <w:color w:val="auto"/>
        </w:rPr>
        <w:t>As of June 30, 2022, the Company has unrestricted cash, cash equivalents and investments of approximately $159.3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p>
      <w:pPr>
        <w:ind w:right="20" w:firstLine="509"/>
        <w:spacing w:after="0" w:line="254" w:lineRule="auto"/>
        <w:rPr>
          <w:sz w:val="20"/>
          <w:szCs w:val="20"/>
          <w:color w:val="auto"/>
        </w:rPr>
      </w:pPr>
      <w:r>
        <w:rPr>
          <w:rFonts w:ascii="Arial" w:cs="Arial" w:eastAsia="Arial" w:hAnsi="Arial"/>
          <w:sz w:val="17"/>
          <w:szCs w:val="17"/>
          <w:color w:val="auto"/>
        </w:rPr>
        <w:t>The Company expects to finance its cash needs through a combination of public or private equity offerings, debt financings, collaborations, strategic alliances, licensing arrangements and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the Company expects its existing unrestricted cash, cash equivalents and investments, will enable it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the COVID-19 pandemic and the macro-economic environment generally.</w:t>
      </w:r>
    </w:p>
    <w:p>
      <w:pPr>
        <w:spacing w:after="0" w:line="73" w:lineRule="exact"/>
        <w:rPr>
          <w:sz w:val="20"/>
          <w:szCs w:val="20"/>
          <w:color w:val="auto"/>
        </w:rPr>
      </w:pPr>
    </w:p>
    <w:p>
      <w:pPr>
        <w:ind w:right="100" w:firstLine="554"/>
        <w:spacing w:after="0" w:line="272" w:lineRule="auto"/>
        <w:rPr>
          <w:sz w:val="20"/>
          <w:szCs w:val="20"/>
          <w:color w:val="auto"/>
        </w:rPr>
      </w:pPr>
      <w:r>
        <w:rPr>
          <w:rFonts w:ascii="Arial" w:cs="Arial" w:eastAsia="Arial" w:hAnsi="Arial"/>
          <w:sz w:val="16"/>
          <w:szCs w:val="16"/>
          <w:color w:val="auto"/>
        </w:rPr>
        <w:t>The Company’s ability to raise additional funds will depend on financial, economic and other factors, many of which are beyond its control. For example, the COVID-19 pandemic, the current inflationary economic environment and rising interest rates have resulted in a disruption of global financial markets. If the disruption persists or deepens,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spacing w:after="0" w:line="272" w:lineRule="exact"/>
        <w:rPr>
          <w:sz w:val="20"/>
          <w:szCs w:val="20"/>
          <w:color w:val="auto"/>
        </w:rPr>
      </w:pPr>
    </w:p>
    <w:p>
      <w:pPr>
        <w:ind w:left="520" w:right="7420" w:hanging="512"/>
        <w:spacing w:after="0" w:line="487" w:lineRule="auto"/>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(GAAP) and applicable rules and regulations of the Securities and Exchange Commission (SEC) regarding interim financial reporting. Accordingly, they do not include all of the information and footnotes required by U.S. GAAP for complete financial statements.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condensed consolidated balance sheet as of December 31, 2021 included herein was derived from the audited consolidated financial statements as of that date but does not include all of the information and notes required by U.S. GAAP for complete financial statements. Certain information and note disclosures normally included in the financial statements prepared in accordance with U.S. GAAP have been condensed or omitted pursuant to requirements for interim financial statements. As such, the information included in this Quarterly Report on Form 10-Q should be read in conjunction with the audited consolidated financial statements and the related notes thereto as of and for the year ended December 31, 2021, included in the Company’s Annual Report on Form 10-K filed with the SEC on March 10, 2022.</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0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The accompanying consolidated balance sheet as of June 30, 2022, the consolidated statements of operations and comprehensive loss for the three and six months ended June 30, 2022 and 2021, the consolidated statements of stockholders’ equity for the three and six months ended June 30, 2022 and 2021, and the consolidated statements of cash flows for the six months ended June 30, 2022 and 2021 are unaudited. The unaudited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consolidated financial position as of June 30, 2022 and the consolidated results of its operations and cash flows for the three and six months ended June 30, 2022 and 2021. The consolidated financial data and other information disclosed in these notes related to the three and six months ended June 30, 2022 and 2021 are unaudited. The consolidated results for the three and six months ended June 30, 2022 are not necessarily indicative of results to be expected for the year ending December 31, 2022, any other interim periods, or any future year or period.</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Significant Accounting Policies and Estimates</w:t>
      </w:r>
    </w:p>
    <w:p>
      <w:pPr>
        <w:spacing w:after="0" w:line="203"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 xml:space="preserve">No material changes have been made to the Company’s significant accounting policies disclosed in Note 2,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 its Annual Report on Form 10-K, filed on March 10, 2022, for the year ended December 31,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8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Company has considered all recent accounting pronouncements issued, but not yet effective, and does not expect any to have a material effect on the Company’s condensed consolidated financial statements other than those discussed in its Annual Report on Form 10-K, filed on March 10, 2022, for the year ended December 31, 2021.</w:t>
      </w:r>
    </w:p>
    <w:p>
      <w:pPr>
        <w:spacing w:after="0" w:line="286"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property and equipment as of June 30, 2022 and December 31, 2021 were as follows (in thousands):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96"/>
        </w:trPr>
        <w:tc>
          <w:tcPr>
            <w:tcW w:w="5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6,139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5,940</w:t>
            </w:r>
          </w:p>
        </w:tc>
        <w:tc>
          <w:tcPr>
            <w:tcW w:w="8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Lab equipment</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6,066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5,709</w:t>
            </w:r>
          </w:p>
        </w:tc>
        <w:tc>
          <w:tcPr>
            <w:tcW w:w="80" w:type="dxa"/>
            <w:vAlign w:val="bottom"/>
          </w:tcPr>
          <w:p>
            <w:pPr>
              <w:spacing w:after="0"/>
              <w:rPr>
                <w:sz w:val="17"/>
                <w:szCs w:val="17"/>
                <w:color w:val="auto"/>
              </w:rPr>
            </w:pPr>
          </w:p>
        </w:tc>
      </w:tr>
      <w:tr>
        <w:trPr>
          <w:trHeight w:val="203"/>
        </w:trPr>
        <w:tc>
          <w:tcPr>
            <w:tcW w:w="5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equipment</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994</w:t>
            </w:r>
          </w:p>
        </w:tc>
        <w:tc>
          <w:tcPr>
            <w:tcW w:w="8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705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472</w:t>
            </w:r>
          </w:p>
        </w:tc>
        <w:tc>
          <w:tcPr>
            <w:tcW w:w="80" w:type="dxa"/>
            <w:vAlign w:val="bottom"/>
          </w:tcPr>
          <w:p>
            <w:pPr>
              <w:spacing w:after="0"/>
              <w:rPr>
                <w:sz w:val="17"/>
                <w:szCs w:val="17"/>
                <w:color w:val="auto"/>
              </w:rPr>
            </w:pPr>
          </w:p>
        </w:tc>
      </w:tr>
      <w:tr>
        <w:trPr>
          <w:trHeight w:val="203"/>
        </w:trPr>
        <w:tc>
          <w:tcPr>
            <w:tcW w:w="5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Vehicles</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w:t>
            </w:r>
          </w:p>
        </w:tc>
        <w:tc>
          <w:tcPr>
            <w:tcW w:w="8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Asset under construction</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7"/>
                <w:szCs w:val="17"/>
                <w:color w:val="auto"/>
              </w:rPr>
            </w:pPr>
          </w:p>
        </w:tc>
      </w:tr>
      <w:tr>
        <w:trPr>
          <w:trHeight w:val="196"/>
        </w:trPr>
        <w:tc>
          <w:tcPr>
            <w:tcW w:w="53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at cost</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14,288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13,442</w:t>
            </w:r>
          </w:p>
        </w:tc>
        <w:tc>
          <w:tcPr>
            <w:tcW w:w="8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(8,507 )</w:t>
            </w:r>
          </w:p>
        </w:tc>
        <w:tc>
          <w:tcPr>
            <w:tcW w:w="1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(7,262 )</w:t>
            </w:r>
          </w:p>
        </w:tc>
      </w:tr>
      <w:tr>
        <w:trPr>
          <w:trHeight w:val="236"/>
        </w:trPr>
        <w:tc>
          <w:tcPr>
            <w:tcW w:w="53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net</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5,781</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6,180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Depreciation expense was $0.6 million and $1.2 million for the three and six months ended June 30, 2022, respectively, and $0.8 million and $1.5 million for the three and six months ended June 30, 2021, respectively. Finance leases are also included in property and equipment as vehicles and lab equipment on the condensed consolidated balance sheets.</w:t>
      </w:r>
    </w:p>
    <w:p>
      <w:pPr>
        <w:spacing w:after="0" w:line="28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08"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As of June 30, 2022 and December 31, 2021, amortized cost, gross unrealized gains and losses, and estimated fair values of total fixed-maturity securities were as follows (in thousands):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82"/>
              <w:spacing w:after="0" w:line="160"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420"/>
              <w:spacing w:after="0" w:line="160"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5"/>
                <w:szCs w:val="15"/>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r>
      <w:tr>
        <w:trPr>
          <w:trHeight w:val="185"/>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6"/>
                <w:szCs w:val="16"/>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96"/>
        </w:trPr>
        <w:tc>
          <w:tcPr>
            <w:tcW w:w="4940" w:type="dxa"/>
            <w:vAlign w:val="bottom"/>
            <w:tcBorders>
              <w:bottom w:val="single" w:sz="8" w:color="CFF0FC"/>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right w:val="single" w:sz="8" w:color="CFF0FC"/>
            </w:tcBorders>
            <w:shd w:val="clear" w:color="auto" w:fill="CFF0FC"/>
          </w:tcPr>
          <w:p>
            <w:pPr>
              <w:spacing w:after="0"/>
              <w:rPr>
                <w:sz w:val="17"/>
                <w:szCs w:val="17"/>
                <w:color w:val="auto"/>
              </w:rPr>
            </w:pP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spacing w:after="0"/>
              <w:rPr>
                <w:sz w:val="17"/>
                <w:szCs w:val="17"/>
                <w:color w:val="auto"/>
              </w:rPr>
            </w:pP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right w:val="single" w:sz="8" w:color="CFF0FC"/>
            </w:tcBorders>
            <w:shd w:val="clear" w:color="auto" w:fill="CFF0FC"/>
          </w:tcPr>
          <w:p>
            <w:pPr>
              <w:spacing w:after="0"/>
              <w:rPr>
                <w:sz w:val="17"/>
                <w:szCs w:val="17"/>
                <w:color w:val="auto"/>
              </w:rPr>
            </w:pP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40" w:type="dxa"/>
            <w:vAlign w:val="bottom"/>
          </w:tcPr>
          <w:p>
            <w:pPr>
              <w:ind w:left="100"/>
              <w:spacing w:after="0" w:line="182" w:lineRule="exact"/>
              <w:rPr>
                <w:sz w:val="20"/>
                <w:szCs w:val="20"/>
                <w:color w:val="auto"/>
              </w:rPr>
            </w:pPr>
            <w:r>
              <w:rPr>
                <w:rFonts w:ascii="Arial" w:cs="Arial" w:eastAsia="Arial" w:hAnsi="Arial"/>
                <w:sz w:val="18"/>
                <w:szCs w:val="18"/>
                <w:color w:val="auto"/>
              </w:rPr>
              <w:t>Certificates of deposit</w:t>
            </w:r>
          </w:p>
        </w:tc>
        <w:tc>
          <w:tcPr>
            <w:tcW w:w="120" w:type="dxa"/>
            <w:vAlign w:val="bottom"/>
          </w:tcPr>
          <w:p>
            <w:pPr>
              <w:jc w:val="right"/>
              <w:ind w:right="13"/>
              <w:spacing w:after="0"/>
              <w:rPr>
                <w:sz w:val="20"/>
                <w:szCs w:val="20"/>
                <w:color w:val="auto"/>
              </w:rPr>
            </w:pPr>
            <w:r>
              <w:rPr>
                <w:rFonts w:ascii="Arial" w:cs="Arial" w:eastAsia="Arial" w:hAnsi="Arial"/>
                <w:sz w:val="4"/>
                <w:szCs w:val="4"/>
                <w:color w:val="auto"/>
                <w:w w:val="87"/>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88,613</w:t>
            </w:r>
          </w:p>
        </w:tc>
        <w:tc>
          <w:tcPr>
            <w:tcW w:w="240" w:type="dxa"/>
            <w:vAlign w:val="bottom"/>
          </w:tcPr>
          <w:p>
            <w:pPr>
              <w:spacing w:after="0"/>
              <w:rPr>
                <w:sz w:val="17"/>
                <w:szCs w:val="17"/>
                <w:color w:val="auto"/>
              </w:rPr>
            </w:pPr>
          </w:p>
        </w:tc>
        <w:tc>
          <w:tcPr>
            <w:tcW w:w="200" w:type="dxa"/>
            <w:vAlign w:val="bottom"/>
          </w:tcPr>
          <w:p>
            <w:pPr>
              <w:jc w:val="right"/>
              <w:ind w:right="63"/>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(441 )</w:t>
            </w:r>
          </w:p>
        </w:tc>
        <w:tc>
          <w:tcPr>
            <w:tcW w:w="14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88,172</w:t>
            </w:r>
          </w:p>
        </w:tc>
        <w:tc>
          <w:tcPr>
            <w:tcW w:w="10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42"/>
              <w:spacing w:after="0" w:line="160"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r>
      <w:tr>
        <w:trPr>
          <w:trHeight w:val="185"/>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6"/>
                <w:szCs w:val="16"/>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4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100"/>
              <w:spacing w:after="0" w:line="202" w:lineRule="exact"/>
              <w:rPr>
                <w:sz w:val="20"/>
                <w:szCs w:val="20"/>
                <w:color w:val="auto"/>
              </w:rPr>
            </w:pPr>
            <w:r>
              <w:rPr>
                <w:rFonts w:ascii="Arial" w:cs="Arial" w:eastAsia="Arial" w:hAnsi="Arial"/>
                <w:sz w:val="18"/>
                <w:szCs w:val="18"/>
                <w:color w:val="auto"/>
              </w:rPr>
              <w:t>Certificates of deposit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3,922</w:t>
            </w:r>
          </w:p>
        </w:tc>
        <w:tc>
          <w:tcPr>
            <w:tcW w:w="240" w:type="dxa"/>
            <w:vAlign w:val="bottom"/>
          </w:tcPr>
          <w:p>
            <w:pPr>
              <w:spacing w:after="0"/>
              <w:rPr>
                <w:sz w:val="17"/>
                <w:szCs w:val="17"/>
                <w:color w:val="auto"/>
              </w:rPr>
            </w:pPr>
          </w:p>
        </w:tc>
        <w:tc>
          <w:tcPr>
            <w:tcW w:w="200" w:type="dxa"/>
            <w:vAlign w:val="bottom"/>
          </w:tcPr>
          <w:p>
            <w:pPr>
              <w:jc w:val="right"/>
              <w:ind w:right="23"/>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3,918</w:t>
            </w:r>
          </w:p>
        </w:tc>
        <w:tc>
          <w:tcPr>
            <w:tcW w:w="100" w:type="dxa"/>
            <w:vAlign w:val="bottom"/>
          </w:tcPr>
          <w:p>
            <w:pPr>
              <w:spacing w:after="0"/>
              <w:rPr>
                <w:sz w:val="17"/>
                <w:szCs w:val="17"/>
                <w:color w:val="auto"/>
              </w:rPr>
            </w:pPr>
          </w:p>
        </w:tc>
      </w:tr>
      <w:tr>
        <w:trPr>
          <w:trHeight w:val="202"/>
        </w:trPr>
        <w:tc>
          <w:tcPr>
            <w:tcW w:w="4940" w:type="dxa"/>
            <w:vAlign w:val="bottom"/>
            <w:tcBorders>
              <w:right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U.S. Treasury bonds</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15,146</w:t>
            </w:r>
          </w:p>
        </w:tc>
        <w:tc>
          <w:tcPr>
            <w:tcW w:w="24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(36 )</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15,110</w:t>
            </w:r>
          </w:p>
        </w:tc>
        <w:tc>
          <w:tcPr>
            <w:tcW w:w="100" w:type="dxa"/>
            <w:vAlign w:val="bottom"/>
            <w:shd w:val="clear" w:color="auto" w:fill="CFF0FC"/>
          </w:tcPr>
          <w:p>
            <w:pPr>
              <w:spacing w:after="0"/>
              <w:rPr>
                <w:sz w:val="17"/>
                <w:szCs w:val="17"/>
                <w:color w:val="auto"/>
              </w:rPr>
            </w:pPr>
          </w:p>
        </w:tc>
      </w:tr>
      <w:tr>
        <w:trPr>
          <w:trHeight w:val="20"/>
        </w:trPr>
        <w:tc>
          <w:tcPr>
            <w:tcW w:w="49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19,068</w:t>
            </w:r>
          </w:p>
        </w:tc>
        <w:tc>
          <w:tcPr>
            <w:tcW w:w="240" w:type="dxa"/>
            <w:vAlign w:val="bottom"/>
          </w:tcPr>
          <w:p>
            <w:pPr>
              <w:spacing w:after="0"/>
              <w:rPr>
                <w:sz w:val="17"/>
                <w:szCs w:val="17"/>
                <w:color w:val="auto"/>
              </w:rPr>
            </w:pPr>
          </w:p>
        </w:tc>
        <w:tc>
          <w:tcPr>
            <w:tcW w:w="200" w:type="dxa"/>
            <w:vAlign w:val="bottom"/>
          </w:tcPr>
          <w:p>
            <w:pPr>
              <w:jc w:val="right"/>
              <w:ind w:right="2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(40 )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19,028</w:t>
            </w:r>
          </w:p>
        </w:tc>
        <w:tc>
          <w:tcPr>
            <w:tcW w:w="10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-1428115</wp:posOffset>
            </wp:positionV>
            <wp:extent cx="685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-1428115</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-1428115</wp:posOffset>
            </wp:positionV>
            <wp:extent cx="6032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-1428115</wp:posOffset>
            </wp:positionV>
            <wp:extent cx="6032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-159385</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-159385</wp:posOffset>
            </wp:positionV>
            <wp:extent cx="5969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-159385</wp:posOffset>
            </wp:positionV>
            <wp:extent cx="6032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95"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Changes in fair value are related to changes in market interest rates. The Company expects to collect all contractual principal and interest payments.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is a summary of maturities of securities available-for-sale as of June 30, 2022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Available-for-sale</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jc w:val="right"/>
              <w:ind w:right="377"/>
              <w:spacing w:after="0" w:line="133" w:lineRule="exact"/>
              <w:rPr>
                <w:sz w:val="20"/>
                <w:szCs w:val="20"/>
                <w:color w:val="auto"/>
              </w:rPr>
            </w:pPr>
            <w:r>
              <w:rPr>
                <w:rFonts w:ascii="Arial" w:cs="Arial" w:eastAsia="Arial" w:hAnsi="Arial"/>
                <w:sz w:val="14"/>
                <w:szCs w:val="14"/>
                <w:b w:val="1"/>
                <w:bCs w:val="1"/>
                <w:color w:val="auto"/>
                <w:w w:val="95"/>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Amounts maturing in:</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00"/>
              <w:spacing w:after="0" w:line="202" w:lineRule="exact"/>
              <w:rPr>
                <w:sz w:val="20"/>
                <w:szCs w:val="20"/>
                <w:color w:val="auto"/>
              </w:rPr>
            </w:pPr>
            <w:r>
              <w:rPr>
                <w:rFonts w:ascii="Arial" w:cs="Arial" w:eastAsia="Arial" w:hAnsi="Arial"/>
                <w:sz w:val="18"/>
                <w:szCs w:val="18"/>
                <w:color w:val="auto"/>
              </w:rPr>
              <w:t>One year or less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88,613</w:t>
            </w:r>
          </w:p>
        </w:tc>
        <w:tc>
          <w:tcPr>
            <w:tcW w:w="7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88,172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More than one year</w:t>
            </w: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ind w:left="360"/>
              <w:spacing w:after="0" w:line="182" w:lineRule="exact"/>
              <w:rPr>
                <w:sz w:val="20"/>
                <w:szCs w:val="20"/>
                <w:color w:val="auto"/>
              </w:rPr>
            </w:pPr>
            <w:r>
              <w:rPr>
                <w:rFonts w:ascii="Arial" w:cs="Arial" w:eastAsia="Arial" w:hAnsi="Arial"/>
                <w:sz w:val="18"/>
                <w:szCs w:val="18"/>
                <w:color w:val="auto"/>
              </w:rPr>
              <w:t>Total investments</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88,613</w:t>
            </w:r>
          </w:p>
        </w:tc>
        <w:tc>
          <w:tcPr>
            <w:tcW w:w="700" w:type="dxa"/>
            <w:vAlign w:val="bottom"/>
            <w:gridSpan w:val="2"/>
          </w:tcPr>
          <w:p>
            <w:pPr>
              <w:jc w:val="right"/>
              <w:ind w:right="34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88,172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-159385</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9"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The Company recorded interest income of $0.2 million and $0.3 million for the three and six months ended June 30, 2022, respectively, and $0.1 million and $0.2 million for the three and six months ended June 30, 2021, respectively, as a component of interest and other income (expense), net on the Company’s condensed consolidated statement of operations and comprehensive loss.</w:t>
      </w:r>
    </w:p>
    <w:p>
      <w:pPr>
        <w:spacing w:after="0" w:line="28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consisted of the following (in thousands):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December 31,</w:t>
            </w:r>
          </w:p>
        </w:tc>
      </w:tr>
      <w:tr>
        <w:trPr>
          <w:trHeight w:val="185"/>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196"/>
        </w:trPr>
        <w:tc>
          <w:tcPr>
            <w:tcW w:w="5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3,200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6,329</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Accrued payables</w:t>
            </w:r>
          </w:p>
        </w:tc>
        <w:tc>
          <w:tcPr>
            <w:tcW w:w="220" w:type="dxa"/>
            <w:vAlign w:val="bottom"/>
          </w:tcPr>
          <w:p>
            <w:pPr>
              <w:spacing w:after="0"/>
              <w:rPr>
                <w:sz w:val="17"/>
                <w:szCs w:val="17"/>
                <w:color w:val="auto"/>
              </w:rPr>
            </w:pPr>
          </w:p>
        </w:tc>
        <w:tc>
          <w:tcPr>
            <w:tcW w:w="10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8,637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17,554</w:t>
            </w:r>
          </w:p>
        </w:tc>
      </w:tr>
      <w:tr>
        <w:trPr>
          <w:trHeight w:val="203"/>
        </w:trPr>
        <w:tc>
          <w:tcPr>
            <w:tcW w:w="5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for early exercised stock options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856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1,235</w:t>
            </w:r>
          </w:p>
        </w:tc>
      </w:tr>
      <w:tr>
        <w:trPr>
          <w:trHeight w:val="236"/>
        </w:trPr>
        <w:tc>
          <w:tcPr>
            <w:tcW w:w="5280" w:type="dxa"/>
            <w:vAlign w:val="bottom"/>
            <w:tcBorders>
              <w:bottom w:val="single" w:sz="8" w:color="CFF0FC"/>
            </w:tcBorders>
            <w:shd w:val="clear" w:color="auto" w:fill="CFF0FC"/>
          </w:tcPr>
          <w:p>
            <w:pPr>
              <w:ind w:left="360"/>
              <w:spacing w:after="0" w:line="182"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15"/>
              <w:spacing w:after="0" w:line="182" w:lineRule="exact"/>
              <w:rPr>
                <w:sz w:val="20"/>
                <w:szCs w:val="20"/>
                <w:color w:val="auto"/>
              </w:rPr>
            </w:pPr>
            <w:r>
              <w:rPr>
                <w:rFonts w:ascii="Arial" w:cs="Arial" w:eastAsia="Arial" w:hAnsi="Arial"/>
                <w:sz w:val="18"/>
                <w:szCs w:val="18"/>
                <w:color w:val="auto"/>
              </w:rPr>
              <w:t>12,824</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-25400</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20" w:right="8640" w:hanging="512"/>
        <w:spacing w:after="0" w:line="509" w:lineRule="auto"/>
        <w:tabs>
          <w:tab w:leader="none" w:pos="52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options</w:t>
      </w:r>
    </w:p>
    <w:p>
      <w:pPr>
        <w:spacing w:after="0" w:line="1"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During the three and six months ended June 30, 2022, the Company’s stock option compensation expense was approximately $3.5 million and $6.9 million, respectively, and during the three and six months ended June 30, 2021, the Company’s stock option compensation expense was approximately $3.1 million and $5.8 million, respectively. There was no recognized tax benefit in either of the periods. As of June 30, 2022, the unamortized expense balance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 $34.2 million, to be amortized over a weighted average period of 2.53 years.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during the six months ended June 30, 2022 is as follows: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subject</w:t>
            </w: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exercise</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to options</w:t>
            </w:r>
          </w:p>
        </w:tc>
        <w:tc>
          <w:tcPr>
            <w:tcW w:w="18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price</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term (years)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as of January 1, 2022</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5,692,514</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12.07</w:t>
            </w:r>
          </w:p>
        </w:tc>
        <w:tc>
          <w:tcPr>
            <w:tcW w:w="20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8.63</w:t>
            </w: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3,742,124</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(5,591 )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(416,678 )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10.08</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Outstanding as of June 30, 2022</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9,012,369</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8.41</w:t>
            </w:r>
          </w:p>
        </w:tc>
        <w:tc>
          <w:tcPr>
            <w:tcW w:w="1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8.61</w:t>
            </w:r>
          </w:p>
        </w:tc>
        <w:tc>
          <w:tcPr>
            <w:tcW w:w="3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5040" w:type="dxa"/>
            <w:vAlign w:val="bottom"/>
          </w:tcPr>
          <w:p>
            <w:pPr>
              <w:spacing w:after="0"/>
              <w:rPr>
                <w:sz w:val="20"/>
                <w:szCs w:val="20"/>
                <w:color w:val="auto"/>
              </w:rPr>
            </w:pPr>
            <w:r>
              <w:rPr>
                <w:rFonts w:ascii="Arial" w:cs="Arial" w:eastAsia="Arial" w:hAnsi="Arial"/>
                <w:sz w:val="18"/>
                <w:szCs w:val="18"/>
                <w:color w:val="auto"/>
              </w:rPr>
              <w:t>Options vested and expected to vest as of June 30, 2022</w:t>
            </w:r>
          </w:p>
        </w:tc>
        <w:tc>
          <w:tcPr>
            <w:tcW w:w="1020" w:type="dxa"/>
            <w:vAlign w:val="bottom"/>
          </w:tcPr>
          <w:p>
            <w:pPr>
              <w:jc w:val="right"/>
              <w:spacing w:after="0"/>
              <w:rPr>
                <w:sz w:val="20"/>
                <w:szCs w:val="20"/>
                <w:color w:val="auto"/>
              </w:rPr>
            </w:pPr>
            <w:r>
              <w:rPr>
                <w:rFonts w:ascii="Arial" w:cs="Arial" w:eastAsia="Arial" w:hAnsi="Arial"/>
                <w:sz w:val="18"/>
                <w:szCs w:val="18"/>
                <w:color w:val="auto"/>
              </w:rPr>
              <w:t>9,006,650</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Options vested and exercisable as of June 30, 2022</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2,766,840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9.90</w:t>
            </w: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7.82</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-390525</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weighted-average grant date fair value of options granted during the three and six months ended June 30, 2022 was $0.91 and $2.10 per share, respectively, and during the three and six months ended June 30, 2021 was $17.70 and $17.61 per share, respectively.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04" w:lineRule="exact"/>
        <w:rPr>
          <w:sz w:val="20"/>
          <w:szCs w:val="20"/>
          <w:color w:val="auto"/>
        </w:rPr>
      </w:pPr>
    </w:p>
    <w:p>
      <w:pPr>
        <w:ind w:right="320" w:firstLine="509"/>
        <w:spacing w:after="0" w:line="296" w:lineRule="auto"/>
        <w:rPr>
          <w:sz w:val="20"/>
          <w:szCs w:val="20"/>
          <w:color w:val="auto"/>
        </w:rPr>
      </w:pPr>
      <w:r>
        <w:rPr>
          <w:rFonts w:ascii="Arial" w:cs="Arial" w:eastAsia="Arial" w:hAnsi="Arial"/>
          <w:sz w:val="17"/>
          <w:szCs w:val="17"/>
          <w:color w:val="auto"/>
        </w:rPr>
        <w:t>During the three and six months ended June 30, 2022, the Company recorded total stock-based compensation expense related to restricted stock awards of $15,000 and $0.1 million, respectively. During the three and six months ended June 30, 2021, the Company recorded total stock-based compensation expense related to restricted stock awards of $0.1 million and $0.2 million, respectively. As of June 30, 2022, there was no unrecognized stock-based compensation expense related to outstanding unvested shares of restricted stock awards remaining.</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common stock activity for the six months ended June 30, 2022:</w:t>
      </w:r>
    </w:p>
    <w:p>
      <w:pPr>
        <w:spacing w:after="0" w:line="9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9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Awards</w:t>
            </w:r>
          </w:p>
        </w:tc>
        <w:tc>
          <w:tcPr>
            <w:tcW w:w="160" w:type="dxa"/>
            <w:vAlign w:val="bottom"/>
          </w:tcPr>
          <w:p>
            <w:pPr>
              <w:spacing w:after="0"/>
              <w:rPr>
                <w:sz w:val="16"/>
                <w:szCs w:val="16"/>
                <w:color w:val="auto"/>
              </w:rPr>
            </w:pPr>
          </w:p>
        </w:tc>
        <w:tc>
          <w:tcPr>
            <w:tcW w:w="98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Issued and unvested as of January 1, 2022</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89,054</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w:t>
            </w: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Restricted stock awards granted</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stock awards vested</w:t>
            </w:r>
          </w:p>
        </w:tc>
        <w:tc>
          <w:tcPr>
            <w:tcW w:w="12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(85,337 )</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Issued and unvested as of June 30, 2022</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3,717</w:t>
            </w:r>
          </w:p>
        </w:tc>
        <w:tc>
          <w:tcPr>
            <w:tcW w:w="22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1.30</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-159385</wp:posOffset>
            </wp:positionV>
            <wp:extent cx="6032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During the six months ended June 30, 2022, the Company did not issue shares of common stock, upon exercise of unvested stock options or purchases for unvested restricted stock awards. During the six months ended June 30, 2021, the Company issued 262,982 shares of common stock, upon exercise of unvested stock options or purchases for unvested restricted stock awards. As of June 30, 2022 and December 31, 2021, there were 65,688 and 163,855 shares of Common Stock held by employees subject to repurchase at an aggregate price of approximately $0.1 million and $0.3 million, respectively. A corresponding liability was recorded and included in accrued expenses on the condensed consolidated balance sheet as of June 30, 2022 and December 31, 2021, respectively.</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77"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During the three and six months ended June 30, 2022, the Company recorded total stock-based compensation expense related to the employee stock purchase plan of $0.4 million and $0.7 million, respectively, and $0.2 million in the three months ended June 30, 2021. The employee stock purchase plan began in the second quarter of 2021, therefore there was no expense in the first quarter of 2021. During the three months ended June 30, 2022, 112,468 grants of awards under this plan have been made. No purchases of common stock were made during the first quarter of 2022, and during the three and six months ended June 30, 2021.</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was allocated as follows for the three and six months ended June 30, 2022 and 2021 (in thousands):</w:t>
      </w:r>
    </w:p>
    <w:p>
      <w:pPr>
        <w:spacing w:after="0" w:line="242" w:lineRule="exact"/>
        <w:rPr>
          <w:sz w:val="20"/>
          <w:szCs w:val="20"/>
          <w:color w:val="auto"/>
        </w:rPr>
      </w:pPr>
    </w:p>
    <w:tbl>
      <w:tblPr>
        <w:tblLayout w:type="fixed"/>
        <w:tblInd w:w="154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6"/>
                <w:szCs w:val="16"/>
                <w:color w:val="auto"/>
              </w:rPr>
            </w:pPr>
          </w:p>
        </w:tc>
      </w:tr>
      <w:tr>
        <w:trPr>
          <w:trHeight w:val="188"/>
        </w:trPr>
        <w:tc>
          <w:tcPr>
            <w:tcW w:w="3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3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r>
      <w:tr>
        <w:trPr>
          <w:trHeight w:val="196"/>
        </w:trPr>
        <w:tc>
          <w:tcPr>
            <w:tcW w:w="3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2,199</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1,974</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4,200</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3,683</w:t>
            </w:r>
          </w:p>
        </w:tc>
        <w:tc>
          <w:tcPr>
            <w:tcW w:w="80" w:type="dxa"/>
            <w:vAlign w:val="bottom"/>
            <w:shd w:val="clear" w:color="auto" w:fill="CFF0FC"/>
          </w:tcPr>
          <w:p>
            <w:pPr>
              <w:spacing w:after="0"/>
              <w:rPr>
                <w:sz w:val="17"/>
                <w:szCs w:val="17"/>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1,795</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1,474</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2,521</w:t>
            </w:r>
          </w:p>
        </w:tc>
        <w:tc>
          <w:tcPr>
            <w:tcW w:w="80" w:type="dxa"/>
            <w:vAlign w:val="bottom"/>
          </w:tcPr>
          <w:p>
            <w:pPr>
              <w:spacing w:after="0"/>
              <w:rPr>
                <w:sz w:val="17"/>
                <w:szCs w:val="17"/>
                <w:color w:val="auto"/>
              </w:rPr>
            </w:pPr>
          </w:p>
        </w:tc>
      </w:tr>
      <w:tr>
        <w:trPr>
          <w:trHeight w:val="236"/>
        </w:trPr>
        <w:tc>
          <w:tcPr>
            <w:tcW w:w="3360" w:type="dxa"/>
            <w:vAlign w:val="bottom"/>
            <w:tcBorders>
              <w:bottom w:val="single" w:sz="8" w:color="CFF0FC"/>
            </w:tcBorders>
            <w:shd w:val="clear" w:color="auto" w:fill="CFF0FC"/>
          </w:tcPr>
          <w:p>
            <w:pPr>
              <w:ind w:left="360"/>
              <w:spacing w:after="0" w:line="182"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3,994</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3,448</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7,780</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6,204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-8255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08" w:lineRule="exact"/>
        <w:rPr>
          <w:sz w:val="20"/>
          <w:szCs w:val="20"/>
          <w:color w:val="auto"/>
        </w:rPr>
      </w:pPr>
    </w:p>
    <w:p>
      <w:pPr>
        <w:ind w:right="260" w:firstLine="509"/>
        <w:spacing w:after="0" w:line="279"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6" w:name="page17"/>
    <w:bookmarkEnd w:id="16"/>
    <w:p>
      <w:pPr>
        <w:ind w:left="520" w:right="20"/>
        <w:spacing w:after="0" w:line="248"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Level 1 quoted prices), such as quoted prices in active markets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for identical or similar assets or liabilities, or other inputs that are observable or can be corroborated by observable market data.</w:t>
      </w:r>
    </w:p>
    <w:p>
      <w:pPr>
        <w:spacing w:after="0" w:line="74" w:lineRule="exact"/>
        <w:rPr>
          <w:sz w:val="20"/>
          <w:szCs w:val="20"/>
          <w:color w:val="auto"/>
        </w:rPr>
      </w:pPr>
    </w:p>
    <w:p>
      <w:pPr>
        <w:ind w:left="520" w:right="360"/>
        <w:spacing w:after="0" w:line="261"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that are significant to determining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including pricing models, discounted cash flow methodologies and similar techniques.</w:t>
      </w:r>
    </w:p>
    <w:p>
      <w:pPr>
        <w:spacing w:after="0" w:line="63"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following tables present the fair value of the Company’s financial instruments that are measured or disclosed at fair value on a recurring basis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gridSpan w:val="4"/>
          </w:tcPr>
          <w:p>
            <w:pPr>
              <w:jc w:val="center"/>
              <w:ind w:left="101"/>
              <w:spacing w:after="0"/>
              <w:rPr>
                <w:sz w:val="20"/>
                <w:szCs w:val="20"/>
                <w:color w:val="auto"/>
              </w:rPr>
            </w:pPr>
            <w:r>
              <w:rPr>
                <w:rFonts w:ascii="Arial" w:cs="Arial" w:eastAsia="Arial" w:hAnsi="Arial"/>
                <w:sz w:val="14"/>
                <w:szCs w:val="14"/>
                <w:b w:val="1"/>
                <w:bCs w:val="1"/>
                <w:color w:val="auto"/>
                <w:w w:val="93"/>
              </w:rPr>
              <w:t>Fair Value Measurements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as of June 30, 2022</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34"/>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196"/>
        </w:trPr>
        <w:tc>
          <w:tcPr>
            <w:tcW w:w="6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120"/>
              <w:spacing w:after="0" w:line="202" w:lineRule="exact"/>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71,172</w:t>
            </w:r>
          </w:p>
        </w:tc>
        <w:tc>
          <w:tcPr>
            <w:tcW w:w="4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9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Certificates of deposit</w:t>
            </w: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88,172</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159,344</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6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gridSpan w:val="4"/>
          </w:tcPr>
          <w:p>
            <w:pPr>
              <w:jc w:val="center"/>
              <w:ind w:left="101"/>
              <w:spacing w:after="0"/>
              <w:rPr>
                <w:sz w:val="20"/>
                <w:szCs w:val="20"/>
                <w:color w:val="auto"/>
              </w:rPr>
            </w:pPr>
            <w:r>
              <w:rPr>
                <w:rFonts w:ascii="Arial" w:cs="Arial" w:eastAsia="Arial" w:hAnsi="Arial"/>
                <w:sz w:val="14"/>
                <w:szCs w:val="14"/>
                <w:b w:val="1"/>
                <w:bCs w:val="1"/>
                <w:color w:val="auto"/>
                <w:w w:val="93"/>
              </w:rPr>
              <w:t>Fair Value Measurements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6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3"/>
              </w:rPr>
              <w:t>as of December 31, 2021</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34"/>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196"/>
        </w:trPr>
        <w:tc>
          <w:tcPr>
            <w:tcW w:w="6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120"/>
              <w:spacing w:after="0" w:line="202" w:lineRule="exact"/>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186,816</w:t>
            </w:r>
          </w:p>
        </w:tc>
        <w:tc>
          <w:tcPr>
            <w:tcW w:w="4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3,918</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120"/>
              <w:spacing w:after="0" w:line="202" w:lineRule="exact"/>
              <w:rPr>
                <w:sz w:val="20"/>
                <w:szCs w:val="20"/>
                <w:color w:val="auto"/>
              </w:rPr>
            </w:pPr>
            <w:r>
              <w:rPr>
                <w:rFonts w:ascii="Arial" w:cs="Arial" w:eastAsia="Arial" w:hAnsi="Arial"/>
                <w:sz w:val="18"/>
                <w:szCs w:val="18"/>
                <w:color w:val="auto"/>
              </w:rPr>
              <w:t>U.S. Treasury bonds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15,110</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69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205,844</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-1299210</wp:posOffset>
            </wp:positionV>
            <wp:extent cx="768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-1299210</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-1299210</wp:posOffset>
            </wp:positionV>
            <wp:extent cx="685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collaboration agreements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Agreement with Emory University (Emory)</w:t>
      </w:r>
    </w:p>
    <w:p>
      <w:pPr>
        <w:spacing w:after="0" w:line="104" w:lineRule="exact"/>
        <w:rPr>
          <w:sz w:val="20"/>
          <w:szCs w:val="20"/>
          <w:color w:val="auto"/>
        </w:rPr>
      </w:pPr>
    </w:p>
    <w:p>
      <w:pPr>
        <w:ind w:right="20" w:firstLine="666"/>
        <w:spacing w:after="0" w:line="252" w:lineRule="auto"/>
        <w:rPr>
          <w:sz w:val="20"/>
          <w:szCs w:val="20"/>
          <w:color w:val="auto"/>
        </w:rPr>
      </w:pPr>
      <w:r>
        <w:rPr>
          <w:rFonts w:ascii="Arial" w:cs="Arial" w:eastAsia="Arial" w:hAnsi="Arial"/>
          <w:sz w:val="17"/>
          <w:szCs w:val="17"/>
          <w:color w:val="auto"/>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Beginning in June 2022, the license to such patents will become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183" w:lineRule="exact"/>
        <w:rPr>
          <w:sz w:val="20"/>
          <w:szCs w:val="20"/>
          <w:color w:val="auto"/>
        </w:rPr>
      </w:pPr>
    </w:p>
    <w:p>
      <w:pPr>
        <w:jc w:val="both"/>
        <w:ind w:right="100" w:firstLine="666"/>
        <w:spacing w:after="0" w:line="248" w:lineRule="auto"/>
        <w:rPr>
          <w:sz w:val="20"/>
          <w:szCs w:val="20"/>
          <w:color w:val="auto"/>
        </w:rPr>
      </w:pPr>
      <w:r>
        <w:rPr>
          <w:rFonts w:ascii="Arial" w:cs="Arial" w:eastAsia="Arial" w:hAnsi="Arial"/>
          <w:sz w:val="18"/>
          <w:szCs w:val="18"/>
          <w:color w:val="auto"/>
        </w:rPr>
        <w:t>As consideration for the Emory License Agreement, the Company paid an upfront license fee of $0.3 million and issued a convertible note with a principal amount of $0.6 million. Upon issuance of the Series A in August 2018, the principal and unpaid accrued interest under this convertible note was cancelled and converted into shares of Series A at a conversion price of $9.32 per share.</w:t>
      </w:r>
    </w:p>
    <w:p>
      <w:pPr>
        <w:spacing w:after="0" w:line="18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terminates one year from the effective date, with the Company having an option to extend for a second year. In connection with the research plan, the Company will provide Emory funding up to $0.3 million per year.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ind w:firstLine="509"/>
        <w:spacing w:after="0" w:line="253" w:lineRule="auto"/>
        <w:rPr>
          <w:sz w:val="20"/>
          <w:szCs w:val="20"/>
          <w:color w:val="auto"/>
        </w:rPr>
      </w:pPr>
      <w:r>
        <w:rPr>
          <w:rFonts w:ascii="Arial" w:cs="Arial" w:eastAsia="Arial" w:hAnsi="Arial"/>
          <w:sz w:val="17"/>
          <w:szCs w:val="17"/>
          <w:color w:val="auto"/>
        </w:rPr>
        <w:t>The Company has agreed to pay Emory up to an aggregate of $125.0 million upon the achievement of specified development, regulatory, and commercial milestones, and all ongoing patent costs. During the three and six months ended June 30, 2022 and 2021, the Company had no 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During the three and six months ended June 30, 2022 and 2021, the Company made no payments associated with royalties and recognized no expense or accruals.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Agreement with Luxna Biotech Co., Ltd. (Luxna)</w:t>
      </w:r>
    </w:p>
    <w:p>
      <w:pPr>
        <w:spacing w:after="0" w:line="10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As consideration for this agreement, the Company paid an upfront license fee of $0.6 million, which was recorded as research and development expense during the period from inception through December 31, 2018 and the year ended December 31, 2019.</w:t>
      </w:r>
    </w:p>
    <w:p>
      <w:pPr>
        <w:spacing w:after="0" w:line="194"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$0.2 million in April 2020.</w:t>
      </w:r>
    </w:p>
    <w:p>
      <w:pPr>
        <w:spacing w:after="0" w:line="155" w:lineRule="exact"/>
        <w:rPr>
          <w:sz w:val="20"/>
          <w:szCs w:val="20"/>
          <w:color w:val="auto"/>
        </w:rPr>
      </w:pPr>
    </w:p>
    <w:p>
      <w:pPr>
        <w:ind w:right="180" w:firstLine="509"/>
        <w:spacing w:after="0" w:line="284" w:lineRule="auto"/>
        <w:rPr>
          <w:sz w:val="20"/>
          <w:szCs w:val="20"/>
          <w:color w:val="auto"/>
        </w:rPr>
      </w:pPr>
      <w:r>
        <w:rPr>
          <w:rFonts w:ascii="Arial" w:cs="Arial" w:eastAsia="Arial" w:hAnsi="Arial"/>
          <w:sz w:val="16"/>
          <w:szCs w:val="16"/>
          <w:color w:val="auto"/>
        </w:rPr>
        <w:t>The Company is obligated to make payments to Luxna, in aggregate, totaling up to but no more than $55.5 million upon the achievement of specified development, regulatory, and commercial milestones. During the three and six months ended June 30, 2022 and 2021, the Company recognized no expenses related to milestone payments. The Company is also required to pay Luxna a low-single digit royalty percentage on net sale of applicable products, if any. During the three and six months ended June 30, 2022 and 2021, the Company made no payments associated with royalties.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Agreement with Katholieke Universiteit Leuven (KU Leuven)</w:t>
      </w:r>
    </w:p>
    <w:p>
      <w:pPr>
        <w:spacing w:after="0" w:line="10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three and six months ended June 30, 2022 and 2021, the Company recognized no expenses related to milestone payments.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Agreements with Merck</w:t>
      </w:r>
    </w:p>
    <w:p>
      <w:pPr>
        <w:spacing w:after="0" w:line="104" w:lineRule="exact"/>
        <w:rPr>
          <w:sz w:val="20"/>
          <w:szCs w:val="20"/>
          <w:color w:val="auto"/>
        </w:rPr>
      </w:pPr>
    </w:p>
    <w:p>
      <w:pPr>
        <w:ind w:right="80" w:firstLine="674"/>
        <w:spacing w:after="0" w:line="276" w:lineRule="auto"/>
        <w:rPr>
          <w:sz w:val="20"/>
          <w:szCs w:val="20"/>
          <w:color w:val="auto"/>
        </w:rPr>
      </w:pPr>
      <w:r>
        <w:rPr>
          <w:rFonts w:ascii="Arial" w:cs="Arial" w:eastAsia="Arial" w:hAnsi="Arial"/>
          <w:sz w:val="16"/>
          <w:szCs w:val="16"/>
          <w:color w:val="auto"/>
        </w:rPr>
        <w:t>In December 2020, the Company and Merck &amp; Co. entered into an exclusive License and Research Collaboration Agreement under which Merck and the Company agreed to apply the Company’s oligonucleotide platform technology to discover, research, optimize and develop oligonucleotides directed against a NASH target and up to one additional liver-targeted cardiometabolic and/or fibrosis target. Under the terms of the agreement, the</w:t>
      </w:r>
    </w:p>
    <w:p>
      <w:pPr>
        <w:spacing w:after="0" w:line="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Company received an upfront payment from Merck and may receive an additional upfront payment after finalization of a research plan for such additional target. With respect to each collaboration target, the Company will be eligible for up to $458.0 million in development and commercialization milestones as well as tiered royalties on net sales. The Company will be primarily responsible for designing, preparing and evaluating the oligonucleotide molecules and delivering optimized lead molecules, and Merck will be responsible for subsequent research, clinical development and commercialization efforts. The Company determined that the Merck agreement falls within the scope of ASC 808 and the Company analogized to ASC 606 for the accounting of payments such as upfront payments and other milestones. Revenue is recognized based on percentage of completion of the overall project. During the three and six months ended June 30, 2022 the Company recognized $2.0 million and $3.6 million, respectively, and in the three and six months ended June 30, 2021 the Company recognized $1.5 million and $2.5 million, respectively, of revenue from collaborative arrangements related to milestone payments.</w:t>
      </w:r>
    </w:p>
    <w:p>
      <w:pPr>
        <w:spacing w:after="0" w:line="254" w:lineRule="exact"/>
        <w:rPr>
          <w:sz w:val="20"/>
          <w:szCs w:val="20"/>
          <w:color w:val="auto"/>
        </w:rPr>
      </w:pPr>
    </w:p>
    <w:p>
      <w:pPr>
        <w:ind w:right="80" w:firstLine="674"/>
        <w:spacing w:after="0" w:line="252" w:lineRule="auto"/>
        <w:rPr>
          <w:sz w:val="20"/>
          <w:szCs w:val="20"/>
          <w:color w:val="auto"/>
        </w:rPr>
      </w:pPr>
      <w:r>
        <w:rPr>
          <w:rFonts w:ascii="Arial" w:cs="Arial" w:eastAsia="Arial" w:hAnsi="Arial"/>
          <w:sz w:val="17"/>
          <w:szCs w:val="17"/>
          <w:color w:val="auto"/>
        </w:rPr>
        <w:t>In January 2022, the Company and Merck &amp; Co. entered into a First Amendment to the License and Research Collaboration Agreement. The agreement was expanded to include the in-license by Merck of an early-stage program with respect to a second undisclosed NASH target, on which the Company had previously been working independently on. In addition, under this expanded arrangement, Merck has the ability to add an additional third target of interest in the cardiometabolic/fibrosis space to the collaboration. Under the expanded agreement, the Company will receive a payment from Merck for the in-license of the program directed at a second undisclosed NASH target. Moreover, the Company will receive an additional payment if a third target is designated for the collaboration. With respect to each target in the collaboration, the Company will be eligible to receive up to approximately $460.0 million in development and commercialization milestones as well as tiered royalties on net sales. The Company determined that the First Amendment to the Merck agreement also falls within the scope of ASC 808 and the Company analogized to ASC 606 for the accounting of payments such as upfront payments and other milestones. Revenue is recognized based on the percentage of completion of the amended agreement. During the three and six months ended June 30, 2022 the Company recognized $1.7 million and $2.7 million, respectively, of revenue from the amended collaborative arrangement related to milestone payments.</w:t>
      </w:r>
    </w:p>
    <w:p>
      <w:pPr>
        <w:spacing w:after="0" w:line="10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The Company had no contingent liabilities requiring accrual as of June 30, 2022 and December 31, 2021. The Company enters into contracts in the normal course of business that includes arrangements with clinical research organizations, vendors for preclinical research and vendors for manufacturing. These agreements generally allow for cancellation with notice. As of June 30, 2022, the Company had no material non-cancellable purchase commitments.</w:t>
      </w:r>
    </w:p>
    <w:p>
      <w:pPr>
        <w:spacing w:after="0" w:line="293"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220" w:firstLine="562"/>
        <w:spacing w:after="0" w:line="261" w:lineRule="auto"/>
        <w:rPr>
          <w:sz w:val="20"/>
          <w:szCs w:val="20"/>
          <w:color w:val="auto"/>
        </w:rPr>
      </w:pPr>
      <w:r>
        <w:rPr>
          <w:rFonts w:ascii="Arial" w:cs="Arial" w:eastAsia="Arial" w:hAnsi="Arial"/>
          <w:sz w:val="18"/>
          <w:szCs w:val="18"/>
          <w:color w:val="auto"/>
        </w:rPr>
        <w:t>The Company has a history of losses and projects losses for the full year 2022. The Company continues to maintain a full valuation allowance on its net deferred tax assets.</w:t>
      </w:r>
    </w:p>
    <w:p>
      <w:pPr>
        <w:spacing w:after="0" w:line="30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computation of basic and diluted net loss per share of the Company (in thousands, except share and per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Net loss</w:t>
      </w:r>
    </w:p>
    <w:p>
      <w:pPr>
        <w:spacing w:after="0" w:line="19" w:lineRule="exact"/>
        <w:rPr>
          <w:sz w:val="20"/>
          <w:szCs w:val="20"/>
          <w:color w:val="auto"/>
        </w:rPr>
      </w:pPr>
    </w:p>
    <w:p>
      <w:pPr>
        <w:ind w:left="460" w:right="1640" w:hanging="161"/>
        <w:spacing w:after="0" w:line="231" w:lineRule="auto"/>
        <w:rPr>
          <w:sz w:val="20"/>
          <w:szCs w:val="20"/>
          <w:color w:val="auto"/>
        </w:rPr>
      </w:pPr>
      <w:r>
        <w:rPr>
          <w:rFonts w:ascii="Arial" w:cs="Arial" w:eastAsia="Arial" w:hAnsi="Arial"/>
          <w:sz w:val="16"/>
          <w:szCs w:val="16"/>
          <w:color w:val="auto"/>
        </w:rPr>
        <w:t>Weighted average common stock outstanding, basic and diluted</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Net loss per share - basic and diluted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00" w:type="dxa"/>
            <w:vAlign w:val="bottom"/>
          </w:tcPr>
          <w:p>
            <w:pPr>
              <w:spacing w:after="0"/>
              <w:rPr>
                <w:sz w:val="15"/>
                <w:szCs w:val="15"/>
                <w:color w:val="auto"/>
              </w:rPr>
            </w:pPr>
          </w:p>
        </w:tc>
        <w:tc>
          <w:tcPr>
            <w:tcW w:w="2680" w:type="dxa"/>
            <w:vAlign w:val="bottom"/>
            <w:gridSpan w:val="5"/>
          </w:tcPr>
          <w:p>
            <w:pPr>
              <w:jc w:val="right"/>
              <w:ind w:right="879"/>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200" w:type="dxa"/>
            <w:vAlign w:val="bottom"/>
            <w:gridSpan w:val="5"/>
          </w:tcPr>
          <w:p>
            <w:pPr>
              <w:jc w:val="right"/>
              <w:ind w:right="579"/>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200"/>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(19,924</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(29,818</w:t>
            </w:r>
          </w:p>
        </w:tc>
        <w:tc>
          <w:tcPr>
            <w:tcW w:w="3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(55,539</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w w:val="74"/>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(57,492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320"/>
        </w:trPr>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42,665,598</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37,619,039</w:t>
            </w: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42,590,479</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37,526,650</w:t>
            </w:r>
          </w:p>
        </w:tc>
        <w:tc>
          <w:tcPr>
            <w:tcW w:w="60" w:type="dxa"/>
            <w:vAlign w:val="bottom"/>
          </w:tcPr>
          <w:p>
            <w:pPr>
              <w:spacing w:after="0"/>
              <w:rPr>
                <w:sz w:val="24"/>
                <w:szCs w:val="24"/>
                <w:color w:val="auto"/>
              </w:rPr>
            </w:pPr>
          </w:p>
        </w:tc>
      </w:tr>
      <w:tr>
        <w:trPr>
          <w:trHeight w:val="183"/>
        </w:trPr>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(0.47</w:t>
            </w:r>
          </w:p>
        </w:tc>
        <w:tc>
          <w:tcPr>
            <w:tcW w:w="220" w:type="dxa"/>
            <w:vAlign w:val="bottom"/>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(0.79</w:t>
            </w:r>
          </w:p>
        </w:tc>
        <w:tc>
          <w:tcPr>
            <w:tcW w:w="36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(1.30</w:t>
            </w:r>
          </w:p>
        </w:tc>
        <w:tc>
          <w:tcPr>
            <w:tcW w:w="200" w:type="dxa"/>
            <w:vAlign w:val="bottom"/>
          </w:tcPr>
          <w:p>
            <w:pPr>
              <w:jc w:val="right"/>
              <w:ind w:right="59"/>
              <w:spacing w:after="0" w:line="183" w:lineRule="exact"/>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(1.53</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-487680</wp:posOffset>
            </wp:positionV>
            <wp:extent cx="6772275"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72275" cy="1200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-144780</wp:posOffset>
            </wp:positionV>
            <wp:extent cx="6772275"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580"/>
          </w:cols>
          <w:pgMar w:left="320" w:top="476" w:right="339" w:bottom="1440" w:gutter="0" w:footer="0" w:header="0"/>
          <w:type w:val="continuous"/>
        </w:sectPr>
      </w:pPr>
    </w:p>
    <w:p>
      <w:pPr>
        <w:spacing w:after="0" w:line="2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Company’s potentially dilutive securities, which include options to purchase common stock and unvested restricted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9" w:name="page20"/>
    <w:bookmarkEnd w:id="19"/>
    <w:p>
      <w:pPr>
        <w:ind w:right="380"/>
        <w:spacing w:after="0" w:line="261" w:lineRule="auto"/>
        <w:rPr>
          <w:sz w:val="20"/>
          <w:szCs w:val="20"/>
          <w:color w:val="auto"/>
        </w:rPr>
      </w:pPr>
      <w:r>
        <w:rPr>
          <w:rFonts w:ascii="Arial" w:cs="Arial" w:eastAsia="Arial" w:hAnsi="Arial"/>
          <w:sz w:val="18"/>
          <w:szCs w:val="18"/>
          <w:color w:val="auto"/>
        </w:rPr>
        <w:t>at each period end, from the computation of diluted net loss per share for the periods indicated because including them would have had an anti-dilutive effect:</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5"/>
                <w:szCs w:val="15"/>
                <w:color w:val="auto"/>
              </w:rPr>
            </w:pPr>
          </w:p>
        </w:tc>
        <w:tc>
          <w:tcPr>
            <w:tcW w:w="2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5"/>
                <w:szCs w:val="15"/>
                <w:color w:val="auto"/>
              </w:rPr>
            </w:pPr>
          </w:p>
        </w:tc>
      </w:tr>
      <w:tr>
        <w:trPr>
          <w:trHeight w:val="185"/>
        </w:trPr>
        <w:tc>
          <w:tcPr>
            <w:tcW w:w="5280" w:type="dxa"/>
            <w:vAlign w:val="bottom"/>
          </w:tcPr>
          <w:p>
            <w:pPr>
              <w:spacing w:after="0"/>
              <w:rPr>
                <w:sz w:val="16"/>
                <w:szCs w:val="16"/>
                <w:color w:val="auto"/>
              </w:rPr>
            </w:pPr>
          </w:p>
        </w:tc>
        <w:tc>
          <w:tcPr>
            <w:tcW w:w="1640" w:type="dxa"/>
            <w:vAlign w:val="bottom"/>
            <w:tcBorders>
              <w:bottom w:val="single" w:sz="8" w:color="auto"/>
            </w:tcBorders>
            <w:gridSpan w:val="3"/>
          </w:tcPr>
          <w:p>
            <w:pPr>
              <w:jc w:val="center"/>
              <w:ind w:left="764"/>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764"/>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83"/>
        </w:trPr>
        <w:tc>
          <w:tcPr>
            <w:tcW w:w="52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Options to purchase common stock</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9,012,369</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5,550,324</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9,012,369</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5,550,324</w:t>
            </w:r>
          </w:p>
        </w:tc>
        <w:tc>
          <w:tcPr>
            <w:tcW w:w="100" w:type="dxa"/>
            <w:vAlign w:val="bottom"/>
            <w:shd w:val="clear" w:color="auto" w:fill="CFF0FC"/>
          </w:tcPr>
          <w:p>
            <w:pPr>
              <w:spacing w:after="0"/>
              <w:rPr>
                <w:sz w:val="15"/>
                <w:szCs w:val="15"/>
                <w:color w:val="auto"/>
              </w:rPr>
            </w:pPr>
          </w:p>
        </w:tc>
      </w:tr>
      <w:tr>
        <w:trPr>
          <w:trHeight w:val="189"/>
        </w:trPr>
        <w:tc>
          <w:tcPr>
            <w:tcW w:w="5280" w:type="dxa"/>
            <w:vAlign w:val="bottom"/>
          </w:tcPr>
          <w:p>
            <w:pPr>
              <w:spacing w:after="0"/>
              <w:rPr>
                <w:sz w:val="20"/>
                <w:szCs w:val="20"/>
                <w:color w:val="auto"/>
              </w:rPr>
            </w:pPr>
            <w:r>
              <w:rPr>
                <w:rFonts w:ascii="Arial" w:cs="Arial" w:eastAsia="Arial" w:hAnsi="Arial"/>
                <w:sz w:val="16"/>
                <w:szCs w:val="16"/>
                <w:color w:val="auto"/>
              </w:rPr>
              <w:t>Unvested restricted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3,717</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224,688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3,717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224,688</w:t>
            </w:r>
          </w:p>
        </w:tc>
        <w:tc>
          <w:tcPr>
            <w:tcW w:w="100" w:type="dxa"/>
            <w:vAlign w:val="bottom"/>
          </w:tcPr>
          <w:p>
            <w:pPr>
              <w:spacing w:after="0"/>
              <w:rPr>
                <w:sz w:val="16"/>
                <w:szCs w:val="16"/>
                <w:color w:val="auto"/>
              </w:rPr>
            </w:pPr>
          </w:p>
        </w:tc>
      </w:tr>
      <w:tr>
        <w:trPr>
          <w:trHeight w:val="183"/>
        </w:trPr>
        <w:tc>
          <w:tcPr>
            <w:tcW w:w="528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9,016,086</w:t>
            </w:r>
          </w:p>
        </w:tc>
        <w:tc>
          <w:tcPr>
            <w:tcW w:w="2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5,775,012</w:t>
            </w:r>
          </w:p>
        </w:tc>
        <w:tc>
          <w:tcPr>
            <w:tcW w:w="34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9,016,086</w:t>
            </w:r>
          </w:p>
        </w:tc>
        <w:tc>
          <w:tcPr>
            <w:tcW w:w="2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5,775,012</w:t>
            </w:r>
          </w:p>
        </w:tc>
        <w:tc>
          <w:tcPr>
            <w:tcW w:w="100" w:type="dxa"/>
            <w:vAlign w:val="bottom"/>
          </w:tcPr>
          <w:p>
            <w:pPr>
              <w:spacing w:after="0"/>
              <w:rPr>
                <w:sz w:val="15"/>
                <w:szCs w:val="15"/>
                <w:color w:val="auto"/>
              </w:rPr>
            </w:pPr>
          </w:p>
        </w:tc>
      </w:tr>
      <w:tr>
        <w:trPr>
          <w:trHeight w:val="20"/>
        </w:trPr>
        <w:tc>
          <w:tcPr>
            <w:tcW w:w="5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Development of Drug Candidates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STOPS</w:t>
      </w:r>
      <w:r>
        <w:rPr>
          <w:rFonts w:ascii="Arial" w:cs="Arial" w:eastAsia="Arial" w:hAnsi="Arial"/>
          <w:sz w:val="24"/>
          <w:szCs w:val="24"/>
          <w:i w:val="1"/>
          <w:iCs w:val="1"/>
          <w:color w:val="auto"/>
          <w:vertAlign w:val="superscript"/>
        </w:rPr>
        <w:t>TM</w:t>
      </w:r>
      <w:r>
        <w:rPr>
          <w:rFonts w:ascii="Arial" w:cs="Arial" w:eastAsia="Arial" w:hAnsi="Arial"/>
          <w:sz w:val="18"/>
          <w:szCs w:val="18"/>
          <w:i w:val="1"/>
          <w:iCs w:val="1"/>
          <w:color w:val="auto"/>
        </w:rPr>
        <w:t xml:space="preserve"> drug candidate, ALG-010133</w:t>
      </w:r>
    </w:p>
    <w:p>
      <w:pPr>
        <w:spacing w:after="0" w:line="48" w:lineRule="exact"/>
        <w:rPr>
          <w:sz w:val="20"/>
          <w:szCs w:val="20"/>
          <w:color w:val="auto"/>
        </w:rPr>
      </w:pPr>
    </w:p>
    <w:p>
      <w:pPr>
        <w:ind w:right="60" w:firstLine="509"/>
        <w:spacing w:after="0" w:line="220" w:lineRule="exact"/>
        <w:rPr>
          <w:sz w:val="20"/>
          <w:szCs w:val="20"/>
          <w:color w:val="auto"/>
        </w:rPr>
      </w:pPr>
      <w:r>
        <w:rPr>
          <w:rFonts w:ascii="Arial" w:cs="Arial" w:eastAsia="Arial" w:hAnsi="Arial"/>
          <w:sz w:val="16"/>
          <w:szCs w:val="16"/>
          <w:color w:val="auto"/>
        </w:rPr>
        <w:t>On January 6, 2022, the Company announced that it had halted further development of its STOPS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drug candidate, ALG</w:t>
      </w:r>
      <w:r>
        <w:rPr>
          <w:rFonts w:ascii="MS PGothic" w:cs="MS PGothic" w:eastAsia="MS PGothic" w:hAnsi="MS PGothic"/>
          <w:sz w:val="16"/>
          <w:szCs w:val="16"/>
          <w:color w:val="auto"/>
        </w:rPr>
        <w:t>‑</w:t>
      </w:r>
      <w:r>
        <w:rPr>
          <w:rFonts w:ascii="Arial" w:cs="Arial" w:eastAsia="Arial" w:hAnsi="Arial"/>
          <w:sz w:val="16"/>
          <w:szCs w:val="16"/>
          <w:color w:val="auto"/>
        </w:rPr>
        <w:t>010133, which was being developed as a potential therapy for chronic hepatitis B (CHB). This decision was based on emerging data from the Phase 1 Study ALG</w:t>
      </w:r>
      <w:r>
        <w:rPr>
          <w:rFonts w:ascii="MS PGothic" w:cs="MS PGothic" w:eastAsia="MS PGothic" w:hAnsi="MS PGothic"/>
          <w:sz w:val="16"/>
          <w:szCs w:val="16"/>
          <w:color w:val="auto"/>
        </w:rPr>
        <w:t>‑</w:t>
      </w:r>
      <w:r>
        <w:rPr>
          <w:rFonts w:ascii="Arial" w:cs="Arial" w:eastAsia="Arial" w:hAnsi="Arial"/>
          <w:sz w:val="16"/>
          <w:szCs w:val="16"/>
          <w:color w:val="auto"/>
        </w:rPr>
        <w:t>010133-101 indicating that at the projected efficacious dose (400 mg, estimated to achieve liver exposures &gt;3 x EC</w:t>
      </w:r>
      <w:r>
        <w:rPr>
          <w:rFonts w:ascii="Arial" w:cs="Arial" w:eastAsia="Arial" w:hAnsi="Arial"/>
          <w:sz w:val="21"/>
          <w:szCs w:val="21"/>
          <w:color w:val="auto"/>
          <w:vertAlign w:val="subscript"/>
        </w:rPr>
        <w:t>90</w:t>
      </w:r>
      <w:r>
        <w:rPr>
          <w:rFonts w:ascii="Arial" w:cs="Arial" w:eastAsia="Arial" w:hAnsi="Arial"/>
          <w:sz w:val="16"/>
          <w:szCs w:val="16"/>
          <w:color w:val="auto"/>
        </w:rPr>
        <w:t xml:space="preserve"> for HBsAg inhibition) there was no meaningful</w:t>
      </w:r>
    </w:p>
    <w:p>
      <w:pPr>
        <w:ind w:right="20"/>
        <w:spacing w:after="0" w:line="205" w:lineRule="exact"/>
        <w:rPr>
          <w:sz w:val="20"/>
          <w:szCs w:val="20"/>
          <w:color w:val="auto"/>
        </w:rPr>
      </w:pPr>
      <w:r>
        <w:rPr>
          <w:rFonts w:ascii="Arial" w:cs="Arial" w:eastAsia="Arial" w:hAnsi="Arial"/>
          <w:sz w:val="17"/>
          <w:szCs w:val="17"/>
          <w:color w:val="auto"/>
        </w:rPr>
        <w:t>HBsAg reduction. Furthermore, a higher dosage level (maximum feasible dose of 600 mg) that was planned to be evaluated in a subsequent cohort was assessed to be very unlikely to reach the 1 log</w:t>
      </w:r>
      <w:r>
        <w:rPr>
          <w:rFonts w:ascii="Arial" w:cs="Arial" w:eastAsia="Arial" w:hAnsi="Arial"/>
          <w:sz w:val="9"/>
          <w:szCs w:val="9"/>
          <w:color w:val="auto"/>
        </w:rPr>
        <w:t>10</w:t>
      </w:r>
      <w:r>
        <w:rPr>
          <w:rFonts w:ascii="Arial" w:cs="Arial" w:eastAsia="Arial" w:hAnsi="Arial"/>
          <w:sz w:val="17"/>
          <w:szCs w:val="17"/>
          <w:color w:val="auto"/>
        </w:rPr>
        <w:t xml:space="preserve"> IU/mL HBsAg reduction level that the Company had previously defined as necessary to advance the program. No dose limiting safety findings have been identified in CHB subjects dosed at any dose level. In early January, based on this information, the Company's management reviewed the data with members of the study’s Study Review Committee, and jointly concluded that the data were not sufficient to support further development of ALG</w:t>
      </w:r>
      <w:r>
        <w:rPr>
          <w:rFonts w:ascii="MS PGothic" w:cs="MS PGothic" w:eastAsia="MS PGothic" w:hAnsi="MS PGothic"/>
          <w:sz w:val="17"/>
          <w:szCs w:val="17"/>
          <w:color w:val="auto"/>
        </w:rPr>
        <w:t>‑</w:t>
      </w:r>
      <w:r>
        <w:rPr>
          <w:rFonts w:ascii="Arial" w:cs="Arial" w:eastAsia="Arial" w:hAnsi="Arial"/>
          <w:sz w:val="17"/>
          <w:szCs w:val="17"/>
          <w:color w:val="auto"/>
        </w:rPr>
        <w:t>010133. The halt of ALG</w:t>
      </w:r>
      <w:r>
        <w:rPr>
          <w:rFonts w:ascii="MS PGothic" w:cs="MS PGothic" w:eastAsia="MS PGothic" w:hAnsi="MS PGothic"/>
          <w:sz w:val="17"/>
          <w:szCs w:val="17"/>
          <w:color w:val="auto"/>
        </w:rPr>
        <w:t>‑</w:t>
      </w:r>
      <w:r>
        <w:rPr>
          <w:rFonts w:ascii="Arial" w:cs="Arial" w:eastAsia="Arial" w:hAnsi="Arial"/>
          <w:sz w:val="17"/>
          <w:szCs w:val="17"/>
          <w:color w:val="auto"/>
        </w:rPr>
        <w:t>010133 resulted in a charge of approximately $3.8 million related to non-cancelable purchase obligations that was recognized during the six months ended June 30,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Antisense Oligonucleotide (ASO) drug candidate, ALG-020572</w:t>
      </w:r>
    </w:p>
    <w:p>
      <w:pPr>
        <w:spacing w:after="0" w:line="104" w:lineRule="exact"/>
        <w:rPr>
          <w:sz w:val="20"/>
          <w:szCs w:val="20"/>
          <w:color w:val="auto"/>
        </w:rPr>
      </w:pPr>
    </w:p>
    <w:p>
      <w:pPr>
        <w:ind w:right="20" w:firstLine="509"/>
        <w:spacing w:after="0" w:line="206" w:lineRule="exact"/>
        <w:rPr>
          <w:sz w:val="20"/>
          <w:szCs w:val="20"/>
          <w:color w:val="auto"/>
        </w:rPr>
      </w:pPr>
      <w:r>
        <w:rPr>
          <w:rFonts w:ascii="Arial" w:cs="Arial" w:eastAsia="Arial" w:hAnsi="Arial"/>
          <w:sz w:val="17"/>
          <w:szCs w:val="17"/>
          <w:color w:val="auto"/>
        </w:rPr>
        <w:t>On March 22, 2022, the Company announced that it had discontinued development of its ASO drug candidate, ALG</w:t>
      </w:r>
      <w:r>
        <w:rPr>
          <w:rFonts w:ascii="MS PGothic" w:cs="MS PGothic" w:eastAsia="MS PGothic" w:hAnsi="MS PGothic"/>
          <w:sz w:val="17"/>
          <w:szCs w:val="17"/>
          <w:color w:val="auto"/>
        </w:rPr>
        <w:t>‑</w:t>
      </w:r>
      <w:r>
        <w:rPr>
          <w:rFonts w:ascii="Arial" w:cs="Arial" w:eastAsia="Arial" w:hAnsi="Arial"/>
          <w:sz w:val="17"/>
          <w:szCs w:val="17"/>
          <w:color w:val="auto"/>
        </w:rPr>
        <w:t>020572, which was being studied in subjects with CHB. Dosing in the first CHB cohort of Study ALG</w:t>
      </w:r>
      <w:r>
        <w:rPr>
          <w:rFonts w:ascii="MS PGothic" w:cs="MS PGothic" w:eastAsia="MS PGothic" w:hAnsi="MS PGothic"/>
          <w:sz w:val="17"/>
          <w:szCs w:val="17"/>
          <w:color w:val="auto"/>
        </w:rPr>
        <w:t>‑</w:t>
      </w:r>
      <w:r>
        <w:rPr>
          <w:rFonts w:ascii="Arial" w:cs="Arial" w:eastAsia="Arial" w:hAnsi="Arial"/>
          <w:sz w:val="17"/>
          <w:szCs w:val="17"/>
          <w:color w:val="auto"/>
        </w:rPr>
        <w:t>020572-401 was stopped after one subject experienced a serious adverse event (SAE) with significant increase in alanine aminotransferase (ALT) following the administration of multiple doses of 210 mg ALG</w:t>
      </w:r>
      <w:r>
        <w:rPr>
          <w:rFonts w:ascii="MS PGothic" w:cs="MS PGothic" w:eastAsia="MS PGothic" w:hAnsi="MS PGothic"/>
          <w:sz w:val="17"/>
          <w:szCs w:val="17"/>
          <w:color w:val="auto"/>
        </w:rPr>
        <w:t>‑</w:t>
      </w:r>
      <w:r>
        <w:rPr>
          <w:rFonts w:ascii="Arial" w:cs="Arial" w:eastAsia="Arial" w:hAnsi="Arial"/>
          <w:sz w:val="17"/>
          <w:szCs w:val="17"/>
          <w:color w:val="auto"/>
        </w:rPr>
        <w:t>020572 that resulted in a brief hospitalization. Four subjects in CHB Cohort 1, including the hospitalized subject, experienced significant ALT flares following multiple dosing; these were unexpected based on prior experience in nonclinical studies and single dose administration in healthy volunteers. Based on this information, the Company concluded that the program should be discontinued. In all four subjects, laboratory parameters and symptoms are improving, and the hospitalized subject has been discharged. The Company plans to use any cost savings from the discontinuation of the ALG</w:t>
      </w:r>
      <w:r>
        <w:rPr>
          <w:rFonts w:ascii="MS PGothic" w:cs="MS PGothic" w:eastAsia="MS PGothic" w:hAnsi="MS PGothic"/>
          <w:sz w:val="17"/>
          <w:szCs w:val="17"/>
          <w:color w:val="auto"/>
        </w:rPr>
        <w:t>‑</w:t>
      </w:r>
      <w:r>
        <w:rPr>
          <w:rFonts w:ascii="Arial" w:cs="Arial" w:eastAsia="Arial" w:hAnsi="Arial"/>
          <w:sz w:val="17"/>
          <w:szCs w:val="17"/>
          <w:color w:val="auto"/>
        </w:rPr>
        <w:t>020572 program to further support clinical and small molecule preclinical development programs, all of which target novel mechanisms that have the potential to enhance the care of patients with CHB, nonalcoholic steatohepatitis and COVID-19. The halt of ALG</w:t>
      </w:r>
      <w:r>
        <w:rPr>
          <w:rFonts w:ascii="MS PGothic" w:cs="MS PGothic" w:eastAsia="MS PGothic" w:hAnsi="MS PGothic"/>
          <w:sz w:val="17"/>
          <w:szCs w:val="17"/>
          <w:color w:val="auto"/>
        </w:rPr>
        <w:t>‑</w:t>
      </w:r>
      <w:r>
        <w:rPr>
          <w:rFonts w:ascii="Arial" w:cs="Arial" w:eastAsia="Arial" w:hAnsi="Arial"/>
          <w:sz w:val="17"/>
          <w:szCs w:val="17"/>
          <w:color w:val="auto"/>
        </w:rPr>
        <w:t>020572 resulted in a charge of approximately $3.4 million related to non-cancelable purchase obligations that was recognized during the six months ended June 30, 2022.</w:t>
      </w:r>
    </w:p>
    <w:p>
      <w:pPr>
        <w:spacing w:after="0" w:line="239"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preparing the interim financial statements for the three and six months ended June 30, 2022, the Company evaluated subsequent events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recognition and measurement purposes during which time nothing has occurred outside of the normal course of business operations that requires disclosure.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We are a clinical-stage biopharmaceutical company focused on developing novel therapeutics to address unmet medical needs in viral and liver diseases, including in the areas of chronic hepatitis B (CHB), non-alcoholic steatohepatitis (NASH) and coronavirus (e.g., SARS-CoV-2 and related infections). We utilize our proprietary small molecule and oligonucleotide platforms to develop pharmacologically optimized drug candidates for use in combination regimens designed to achieve improved treatment outcomes.</w:t>
      </w:r>
    </w:p>
    <w:p>
      <w:pPr>
        <w:spacing w:after="0" w:line="80"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One of our areas of focus seeks to enhance the rate of functional cure for CHB, which often results in life-threatening conditions such as cirrhosis, and the most common form of liver cancer, hepatocellular carcinoma (HCC). The most widely used treatment for CHB, nucleos(t)ide analogs (NAs), suppress viral replication, but only achieve low rates of functional cure and often require long-term administration. To address this issue, we have developed a portfolio of differentiated drug candidates for CHB, including a small molecule Class II Capsid Assembly Modulator (CAM) and a small interfering RNA (siRNA), each of which is designed against clinically validated targets in the hepatitis B virus (HBV) life cycle. We are also exploring small molecule approaches towards Class I CAMs and boosting immune responses via small molecule antagonists of the programmed death 1 (ligand) PD1/PD-L1 interaction. We believe that combination regimens utilizing our portfolio of CHB drug candidates, with or without other mechanisms of action, may lead to higher rates of functional cure.</w:t>
      </w:r>
    </w:p>
    <w:p>
      <w:pPr>
        <w:spacing w:after="0" w:line="73" w:lineRule="exact"/>
        <w:rPr>
          <w:sz w:val="20"/>
          <w:szCs w:val="20"/>
          <w:color w:val="auto"/>
        </w:rPr>
      </w:pPr>
    </w:p>
    <w:p>
      <w:pPr>
        <w:ind w:right="20" w:firstLine="509"/>
        <w:spacing w:after="0" w:line="261" w:lineRule="auto"/>
        <w:rPr>
          <w:sz w:val="20"/>
          <w:szCs w:val="20"/>
          <w:color w:val="auto"/>
        </w:rPr>
      </w:pPr>
      <w:r>
        <w:rPr>
          <w:rFonts w:ascii="Arial" w:cs="Arial" w:eastAsia="Arial" w:hAnsi="Arial"/>
          <w:sz w:val="16"/>
          <w:szCs w:val="16"/>
          <w:color w:val="auto"/>
        </w:rPr>
        <w:t>The initial Phase 1a study in healthy volunteers (HVs) for our Class II CAM, ALG-000184, has been completed and a Phase 1b dose ranging study evaluating the safety, pharmacokinetics and antiviral activity of this drug candidate in CHB patients is ongoing. Preliminary data as of July 26, 2022 in both HVs and CHB subjects, indicate ALG-000184 has a predictable, dose proportional PK profile and single doses up to 500 mg in HVs and multiple daily doses up to 300 mg x 28 days in CHB subjects have been well tolerated. Specifically, only one unrelated SAE (hospitalization for management of pre-existing back pain) has been reported and there have been no treatment emergent adverse events (TEAEs) leading to discontinuation. Additionally, no concerning TEAEs, laboratories, vital signs or EKG findings have been reported to date. Preliminary antiviral activity data at Day 28 are available in cohorts of hepatitis B E-antigen (HBeAg) negative subjects (100 mg (Cohort 1), 50 mg (Cohort 2), and 10 mg (Cohort 3)) and HBeAg positive subjects (100 mg (Cohort 4)): ALG-000184 was observed to have similar levels of activity at 10-100 mg doses in Cohorts 1-3, where all 3 doses achieved HBV DNA and HBV RNA reductions of approximately 3-4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IU/mL and approximately 1-2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copies/mL, respectively. Maximal HBV DNA and HBV</w:t>
      </w:r>
    </w:p>
    <w:p>
      <w:pPr>
        <w:spacing w:after="0" w:line="2" w:lineRule="exact"/>
        <w:rPr>
          <w:sz w:val="20"/>
          <w:szCs w:val="20"/>
          <w:color w:val="auto"/>
        </w:rPr>
      </w:pPr>
    </w:p>
    <w:p>
      <w:pPr>
        <w:jc w:val="both"/>
        <w:ind w:right="260"/>
        <w:spacing w:after="0" w:line="228" w:lineRule="auto"/>
        <w:rPr>
          <w:sz w:val="20"/>
          <w:szCs w:val="20"/>
          <w:color w:val="auto"/>
        </w:rPr>
      </w:pPr>
      <w:r>
        <w:rPr>
          <w:rFonts w:ascii="Arial" w:cs="Arial" w:eastAsia="Arial" w:hAnsi="Arial"/>
          <w:sz w:val="16"/>
          <w:szCs w:val="16"/>
          <w:color w:val="auto"/>
        </w:rPr>
        <w:t>RNA reductions were observed in the 10 mg cohort (Cohort 3), where 100% of subjects had DNA and RNA levels below the lower limit of quantitation (LLOQ) at the completion of dosing. In Cohort 4 (HBeAg positive subjects receiving 100 mg ALG-000184), HBV DNA and HBV RNA declined by &gt;4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IU/mL and &gt;3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copies/mL, respectively, with no plateauing of the antiviral effect throughout dosing. With respect to ongoing cohorts in this</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study, dosing in Cohort 5 (300 mg for 28 days in HBeAg positive CHB) was recently completed and enrollment in a longer term (12 week) dosing cohort in HBeAg positive CHB subjects (Part 4) is ongoing. Data from these cohorts are planned to be shared at a scientific conference in the fourth quarter of 2022. We are also planning to conduct a Phase 2 study to evaluate the ability of ALG-000184 in combination with NAs to fully suppress (&lt;LLOQ) HBV DNA, and possibly RNA, in HBeAg positive subjects. This study is anticipated to be initiated in the first half of 2023 and prior to then, in the second half of 2022, we plan to seek scientific advice from multiple regulatory bodies regarding our proposed development strategy for ALG-000184.</w:t>
      </w:r>
    </w:p>
    <w:p>
      <w:pPr>
        <w:spacing w:after="0" w:line="54" w:lineRule="exact"/>
        <w:rPr>
          <w:sz w:val="20"/>
          <w:szCs w:val="20"/>
          <w:color w:val="auto"/>
        </w:rPr>
      </w:pPr>
    </w:p>
    <w:p>
      <w:pPr>
        <w:ind w:right="280" w:firstLine="509"/>
        <w:spacing w:after="0" w:line="291" w:lineRule="auto"/>
        <w:rPr>
          <w:sz w:val="20"/>
          <w:szCs w:val="20"/>
          <w:color w:val="auto"/>
        </w:rPr>
      </w:pPr>
      <w:r>
        <w:rPr>
          <w:rFonts w:ascii="Arial" w:cs="Arial" w:eastAsia="Arial" w:hAnsi="Arial"/>
          <w:sz w:val="17"/>
          <w:szCs w:val="17"/>
          <w:color w:val="auto"/>
        </w:rPr>
        <w:t>Our preclinical activities to advance our siRNA targeted against HBV (ALG-125755) are ongoing, with the clinical trial application (CTA) filing planned for the third quarter of 2022 and the initiation of a single ascending dose study in HVs planned to occur in the fourth quarter of 2022.</w:t>
      </w:r>
    </w:p>
    <w:p>
      <w:pPr>
        <w:spacing w:after="0" w:line="39" w:lineRule="exact"/>
        <w:rPr>
          <w:sz w:val="20"/>
          <w:szCs w:val="20"/>
          <w:color w:val="auto"/>
        </w:rPr>
      </w:pPr>
    </w:p>
    <w:p>
      <w:pPr>
        <w:ind w:right="20" w:firstLine="509"/>
        <w:spacing w:after="0" w:line="246" w:lineRule="auto"/>
        <w:rPr>
          <w:sz w:val="20"/>
          <w:szCs w:val="20"/>
          <w:color w:val="auto"/>
        </w:rPr>
      </w:pPr>
      <w:r>
        <w:rPr>
          <w:rFonts w:ascii="Arial" w:cs="Arial" w:eastAsia="Arial" w:hAnsi="Arial"/>
          <w:sz w:val="17"/>
          <w:szCs w:val="17"/>
          <w:color w:val="auto"/>
        </w:rPr>
        <w:t>Our second area of focus is to develop drug candidates with pan-coronavirus activity, including against Severe Acute Respiratory Syndrome coronavirus 2 (SARS-CoV-2), the virus responsible for COVID-19. Our efforts to identify a coronavirus therapeutic are focused on a small molecule approach, where we are exploring coronavirus 3CL protease inhibitors in collaboration with Katholieke Universiteit Leuven (KU Leuven), the Center for Innovation and Stimulation of Drug Discovery (CISTIM) and the Centre for Drug Design and Discovery (CD3). Our drug candidate, ALG-097558, is at least 7-fold more potent in cell-based assays than nirmatrelvir and PBI-0451 against a panel of SARS-CoV-2 variants (including omicron), has broad pan-coronavirus activity, and is not projected to need ritonavir boosting. Evaluation of ALG-097558 in the hamster SARS-CoV-2 infection model indicates that when dosed prior to infection or up to 24 hours post-infection, the compound causes a significant reduction in the levels of infectious virus in the lungs. Further, we have begun to investigate the viral resistance profile of our 3CL protease inhibitors. A resistant mutant was derived by incubating SARS-CoV-2 infected cells with an early lead compound, ALG-097161. We identified a combination of 3 amino acid substitutions in the 3CL protease (L50F E166A L167F) that are associated with a greater than 50-fold increase in the EC</w:t>
      </w:r>
      <w:r>
        <w:rPr>
          <w:rFonts w:ascii="Arial" w:cs="Arial" w:eastAsia="Arial" w:hAnsi="Arial"/>
          <w:sz w:val="23"/>
          <w:szCs w:val="23"/>
          <w:color w:val="auto"/>
          <w:vertAlign w:val="subscript"/>
        </w:rPr>
        <w:t>50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 w:name="page22"/>
    <w:bookmarkEnd w:id="21"/>
    <w:p>
      <w:pPr>
        <w:ind w:right="260" w:firstLine="45"/>
        <w:spacing w:after="0" w:line="252" w:lineRule="auto"/>
        <w:rPr>
          <w:sz w:val="20"/>
          <w:szCs w:val="20"/>
          <w:color w:val="auto"/>
        </w:rPr>
      </w:pPr>
      <w:r>
        <w:rPr>
          <w:rFonts w:ascii="Arial" w:cs="Arial" w:eastAsia="Arial" w:hAnsi="Arial"/>
          <w:sz w:val="16"/>
          <w:szCs w:val="16"/>
          <w:color w:val="auto"/>
        </w:rPr>
        <w:t>values for ALG-097161 and PF-07321332 (nirmatrelvir) when assessed in a biochemical assay. In contrast, when ALG-097558 was profiled against the L50F E166A L167F resistant mutant, only a 3-fold shift in the EC</w:t>
      </w:r>
      <w:r>
        <w:rPr>
          <w:rFonts w:ascii="Arial" w:cs="Arial" w:eastAsia="Arial" w:hAnsi="Arial"/>
          <w:sz w:val="21"/>
          <w:szCs w:val="21"/>
          <w:color w:val="auto"/>
          <w:vertAlign w:val="subscript"/>
        </w:rPr>
        <w:t>50</w:t>
      </w:r>
      <w:r>
        <w:rPr>
          <w:rFonts w:ascii="Arial" w:cs="Arial" w:eastAsia="Arial" w:hAnsi="Arial"/>
          <w:sz w:val="16"/>
          <w:szCs w:val="16"/>
          <w:color w:val="auto"/>
        </w:rPr>
        <w:t>value was observed. Experiments to further evaluate the viral resistance profile of</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ALG-097558 are currently ongoing. Preclinical modelling indicates that an ALG-097558 dose of 350-600 mg PO BID is sufficient to maintain exposures at or above the human serum shifted 5 x EC</w:t>
      </w:r>
      <w:r>
        <w:rPr>
          <w:rFonts w:ascii="Arial" w:cs="Arial" w:eastAsia="Arial" w:hAnsi="Arial"/>
          <w:sz w:val="21"/>
          <w:szCs w:val="21"/>
          <w:color w:val="auto"/>
          <w:vertAlign w:val="subscript"/>
        </w:rPr>
        <w:t>90</w:t>
      </w:r>
      <w:r>
        <w:rPr>
          <w:rFonts w:ascii="Arial" w:cs="Arial" w:eastAsia="Arial" w:hAnsi="Arial"/>
          <w:sz w:val="16"/>
          <w:szCs w:val="16"/>
          <w:color w:val="auto"/>
        </w:rPr>
        <w:t xml:space="preserve"> concentration throughout the dosing cycle. We plan to complete first in human enabling nonclinical studies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fourth quarter of 2022, leading to a phase 1 CTA filing for ALG-097558 in the first quarter of 2023.</w:t>
      </w:r>
    </w:p>
    <w:p>
      <w:pPr>
        <w:spacing w:after="0" w:line="88"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Our third area of focus is in NASH, a complex, chronic liver disease where combination regimens may prove beneficial. Our most advanced drug candidate for NASH is ALG-055009, a small molecule THR-ß agonist. This drug candidate is being evaluated in a Phase 1a/1b study in HVs (oral single ascending doses) and subjects with hyperlipidemia (14 oral daily doses); dosing in both populations is now complete and preliminary data after single doses up to 4 mg and multiple 0.3 mg doses have recently been reported at a scientific conference. These data demonstrated that ALG-055009 was well tolerated, with dose proportional pharmacokinetic (PK) and low variability, and expected pharmacodynamic effects for a thyromimetic (i.e., generally dose proportional increases in sex hormone binding globulin and decreases in thyroid hormones and various atherogenic lipids). Topline data, including safety, PK, and anti-lipid effects after multiple doses in hyperlipidemic subjects are anticipated to be made available in the third quarter of 2022 and will be shared at a scientific conference in the fourth quarter of 2022. Based on the previously demonstrated effects of other thyromimetics on liver fat, noninvasive markers of nonalcoholic fatty liver disease (NAFLD)/NASH, and liver histology in NASH patients, we believe ALG-055009 has the potential to become an integral component of future combination regimens for NASH.</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have incurred net losses and negative cash flows from operations in each year since our formation in February 2018. Our net losses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$19.9 million and $55.5 million for the three and six months ended June 30, 2022, respectively, and our net losses were $29.8 million and $57.5 million for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three and six months ended June 30, 2021. We have had no revenue from product sales. As of June 30, 2022, we had an accumulated deficit of $358.6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million. Substantially all of our net losses have resulted from costs incurred in connection with our research and development programs and from general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administrative costs associated with our operations. We expect to continue to incur significant expenses and increasing operating losses over at least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next several years. Our net operating losses may fluctuate from quarter to quarter and year to year depending primarily on the timing of our clinical trials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nonclinical studies and our other research and development expenses. We have no internal manufacturing capabilities or salesforce and outsource 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substantial portion of our clinical trial work to third parties.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81" w:lineRule="exact"/>
        <w:rPr>
          <w:sz w:val="20"/>
          <w:szCs w:val="20"/>
          <w:color w:val="auto"/>
        </w:rPr>
      </w:pPr>
    </w:p>
    <w:p>
      <w:pPr>
        <w:ind w:left="1020" w:right="4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salaries, benefits and other employee-related costs, including stock-based compensation expense, for personnel engaged in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and related travel expenses;</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in-process research and development, including license fees and milestones paid to third-party collaborators for technologies with no alternative use;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related to production of clinical materials, including fees paid to contract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incurred under agreements with collaborators that perform nonclinical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and allocated expenses for rent and maintenance of facilities, insurance, and other supplies.</w:t>
      </w:r>
    </w:p>
    <w:p>
      <w:pPr>
        <w:spacing w:after="0" w:line="171"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We expense research and development costs as the services are performed or the goods are received. Non-refundable payments for goods or services that will be used for future research and development activities are deferred and capitalized. Such amounts 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ind w:right="280"/>
        <w:spacing w:after="0" w:line="261" w:lineRule="auto"/>
        <w:rPr>
          <w:sz w:val="20"/>
          <w:szCs w:val="20"/>
          <w:color w:val="auto"/>
        </w:rPr>
      </w:pPr>
      <w:r>
        <w:rPr>
          <w:rFonts w:ascii="Arial" w:cs="Arial" w:eastAsia="Arial" w:hAnsi="Arial"/>
          <w:sz w:val="18"/>
          <w:szCs w:val="18"/>
          <w:color w:val="auto"/>
        </w:rPr>
        <w:t>recognized as an expense as the goods are delivered or the related services are performed until it is no longer expected that the goods will be delivered or the services will be rendered.</w:t>
      </w:r>
    </w:p>
    <w:p>
      <w:pPr>
        <w:spacing w:after="0" w:line="171"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189"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90"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Interest and other income (expense), net comprises interest income, net and other (loss) income , net. Interest income, net primarily consists of interest earned on our cash, cash equivalents, and investments. Other (loss) income, net consists primarily of the change in fair value of our investments and foreign currency gains/losses.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2022 and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operating expenses for the three and six months ended June 30, 2022 and 2021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jc w:val="center"/>
              <w:ind w:right="95"/>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2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2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276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16,510</w:t>
            </w:r>
          </w:p>
        </w:tc>
        <w:tc>
          <w:tcPr>
            <w:tcW w:w="5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24,554</w:t>
            </w:r>
          </w:p>
        </w:tc>
        <w:tc>
          <w:tcPr>
            <w:tcW w:w="4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(8,044 )</w:t>
            </w:r>
          </w:p>
        </w:tc>
        <w:tc>
          <w:tcPr>
            <w:tcW w:w="2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ind w:left="80"/>
              <w:spacing w:after="0" w:line="202" w:lineRule="exact"/>
              <w:rPr>
                <w:sz w:val="20"/>
                <w:szCs w:val="20"/>
                <w:color w:val="auto"/>
              </w:rPr>
            </w:pPr>
            <w:r>
              <w:rPr>
                <w:rFonts w:ascii="Arial" w:cs="Arial" w:eastAsia="Arial" w:hAnsi="Arial"/>
                <w:sz w:val="18"/>
                <w:szCs w:val="18"/>
                <w:color w:val="auto"/>
                <w:w w:val="87"/>
              </w:rPr>
              <w:t>48,186</w:t>
            </w:r>
          </w:p>
        </w:tc>
        <w:tc>
          <w:tcPr>
            <w:tcW w:w="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47,422</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764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3"/>
        </w:trPr>
        <w:tc>
          <w:tcPr>
            <w:tcW w:w="276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7,576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6,556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1,020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16 %</w:t>
            </w:r>
          </w:p>
        </w:tc>
        <w:tc>
          <w:tcPr>
            <w:tcW w:w="180" w:type="dxa"/>
            <w:vAlign w:val="bottom"/>
          </w:tcPr>
          <w:p>
            <w:pPr>
              <w:spacing w:after="0"/>
              <w:rPr>
                <w:sz w:val="17"/>
                <w:szCs w:val="17"/>
                <w:color w:val="auto"/>
              </w:rPr>
            </w:pPr>
          </w:p>
        </w:tc>
        <w:tc>
          <w:tcPr>
            <w:tcW w:w="580" w:type="dxa"/>
            <w:vAlign w:val="bottom"/>
          </w:tcPr>
          <w:p>
            <w:pPr>
              <w:ind w:left="80"/>
              <w:spacing w:after="0" w:line="202" w:lineRule="exact"/>
              <w:rPr>
                <w:sz w:val="20"/>
                <w:szCs w:val="20"/>
                <w:color w:val="auto"/>
              </w:rPr>
            </w:pPr>
            <w:r>
              <w:rPr>
                <w:rFonts w:ascii="Arial" w:cs="Arial" w:eastAsia="Arial" w:hAnsi="Arial"/>
                <w:sz w:val="18"/>
                <w:szCs w:val="18"/>
                <w:color w:val="auto"/>
                <w:w w:val="87"/>
              </w:rPr>
              <w:t>14,028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12,337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1,691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14 %</w:t>
            </w:r>
          </w:p>
        </w:tc>
      </w:tr>
      <w:tr>
        <w:trPr>
          <w:trHeight w:val="20"/>
        </w:trPr>
        <w:tc>
          <w:tcPr>
            <w:tcW w:w="2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760" w:type="dxa"/>
            <w:vAlign w:val="bottom"/>
          </w:tcPr>
          <w:p>
            <w:pPr>
              <w:ind w:left="380"/>
              <w:spacing w:after="0" w:line="182" w:lineRule="exact"/>
              <w:rPr>
                <w:sz w:val="20"/>
                <w:szCs w:val="20"/>
                <w:color w:val="auto"/>
              </w:rPr>
            </w:pPr>
            <w:r>
              <w:rPr>
                <w:rFonts w:ascii="Arial" w:cs="Arial" w:eastAsia="Arial" w:hAnsi="Arial"/>
                <w:sz w:val="18"/>
                <w:szCs w:val="18"/>
                <w:color w:val="auto"/>
              </w:rPr>
              <w:t>Total operating expenses</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24,086</w:t>
            </w:r>
          </w:p>
        </w:tc>
        <w:tc>
          <w:tcPr>
            <w:tcW w:w="240" w:type="dxa"/>
            <w:vAlign w:val="bottom"/>
          </w:tcPr>
          <w:p>
            <w:pPr>
              <w:spacing w:after="0"/>
              <w:rPr>
                <w:sz w:val="17"/>
                <w:szCs w:val="17"/>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31,110</w:t>
            </w:r>
          </w:p>
        </w:tc>
        <w:tc>
          <w:tcPr>
            <w:tcW w:w="240" w:type="dxa"/>
            <w:vAlign w:val="bottom"/>
          </w:tcPr>
          <w:p>
            <w:pPr>
              <w:spacing w:after="0"/>
              <w:rPr>
                <w:sz w:val="17"/>
                <w:szCs w:val="17"/>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(7,024 )</w:t>
            </w:r>
          </w:p>
        </w:tc>
        <w:tc>
          <w:tcPr>
            <w:tcW w:w="220" w:type="dxa"/>
            <w:vAlign w:val="bottom"/>
          </w:tcPr>
          <w:p>
            <w:pPr>
              <w:spacing w:after="0"/>
              <w:rPr>
                <w:sz w:val="17"/>
                <w:szCs w:val="17"/>
                <w:color w:val="auto"/>
              </w:rPr>
            </w:pPr>
          </w:p>
        </w:tc>
        <w:tc>
          <w:tcPr>
            <w:tcW w:w="9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-23 %</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Pr>
          <w:p>
            <w:pPr>
              <w:ind w:left="80"/>
              <w:spacing w:after="0" w:line="182" w:lineRule="exact"/>
              <w:rPr>
                <w:sz w:val="20"/>
                <w:szCs w:val="20"/>
                <w:color w:val="auto"/>
              </w:rPr>
            </w:pPr>
            <w:r>
              <w:rPr>
                <w:rFonts w:ascii="Arial" w:cs="Arial" w:eastAsia="Arial" w:hAnsi="Arial"/>
                <w:sz w:val="18"/>
                <w:szCs w:val="18"/>
                <w:color w:val="auto"/>
                <w:w w:val="87"/>
              </w:rPr>
              <w:t>62,214</w:t>
            </w:r>
          </w:p>
        </w:tc>
        <w:tc>
          <w:tcPr>
            <w:tcW w:w="50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59,759</w:t>
            </w:r>
          </w:p>
        </w:tc>
        <w:tc>
          <w:tcPr>
            <w:tcW w:w="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2,455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4 %</w:t>
            </w:r>
          </w:p>
        </w:tc>
      </w:tr>
      <w:tr>
        <w:trPr>
          <w:trHeight w:val="20"/>
        </w:trPr>
        <w:tc>
          <w:tcPr>
            <w:tcW w:w="2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Research and development expenses decreased $8.0 million during the three months ended June 30, 2022, compared to the same period in 2021. The decrease in the three month period was due to a decrease of $7.9 million in third-party expenses due primarily to our continued winddown related to the discontinuation of our STOPS and ASO programs offset by our expenditures related to the ongoing development and manufacturing activities associated with our CAM and NASH clinical trial program activities. Additionally, there was a decrease of $0.5 million in facilities and allocation expenses, a decrease of $0.3 million in depreciation expense, and a decrease of $0.2 million in recruitment fees. This were partially offset by an increase of $0.8 million in employee-related costs, of which $0.1 million related to stock-based compensation.</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4" w:right="279" w:bottom="1440" w:gutter="0" w:footer="0" w:header="0"/>
        </w:sectPr>
      </w:pPr>
    </w:p>
    <w:bookmarkStart w:id="23" w:name="page24"/>
    <w:bookmarkEnd w:id="23"/>
    <w:p>
      <w:pPr>
        <w:ind w:right="80" w:firstLine="509"/>
        <w:spacing w:after="0" w:line="253" w:lineRule="auto"/>
        <w:rPr>
          <w:sz w:val="20"/>
          <w:szCs w:val="20"/>
          <w:color w:val="auto"/>
        </w:rPr>
      </w:pPr>
      <w:r>
        <w:rPr>
          <w:rFonts w:ascii="Arial" w:cs="Arial" w:eastAsia="Arial" w:hAnsi="Arial"/>
          <w:sz w:val="17"/>
          <w:szCs w:val="17"/>
          <w:color w:val="auto"/>
        </w:rPr>
        <w:t xml:space="preserve">Research and development expenses increased $0.8 million during the six months ended June 30, 2022, compared to the same period in 2021. The increase in the six month period was due to an increase of $2.0 million of additional employee-related costs, of which $0.2 million related to stock-based compensation, an increase of $0.2 million in travel and entertainment expenses as our employees return to the office, partially offset by a decrease of $0.4 million in third-party expenses due primarily to our reduced costs related to our discontinued STOPs and ASO programs, leading to charges for non-cancelable purchase obligations partially offset by our ongoing activities and related expenditures in research and development associated with our CAM clinical trial activities as well as our NASH program. Refer to Note 12, </w:t>
      </w:r>
      <w:r>
        <w:rPr>
          <w:rFonts w:ascii="Arial" w:cs="Arial" w:eastAsia="Arial" w:hAnsi="Arial"/>
          <w:sz w:val="17"/>
          <w:szCs w:val="17"/>
          <w:i w:val="1"/>
          <w:iCs w:val="1"/>
          <w:color w:val="auto"/>
        </w:rPr>
        <w:t>Discontinued Development of Drug Candidates,</w:t>
      </w:r>
      <w:r>
        <w:rPr>
          <w:rFonts w:ascii="Arial" w:cs="Arial" w:eastAsia="Arial" w:hAnsi="Arial"/>
          <w:sz w:val="17"/>
          <w:szCs w:val="17"/>
          <w:color w:val="auto"/>
        </w:rPr>
        <w:t xml:space="preserve"> in the “Notes to Unaudited Condensed Consolidated Financial Statements” contained in Part I, Item 1 of this report for further details on our discontinued STOPs and ASO programs. During the six months ended June 30, 2022, there was also a decrease of $0.2 million in recruitment costs, a decrease of $0.5 million in facility expenses and a decrease of $0.3 million in depreciation expense, compared to the same period in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General and administrative expenses increased $1.0 million during the three months ended June 30, 2022, compared to the same period in 2021. The increase was primarily due to an increase of $1.0 million in routine facilities and allocated expenses, an increase of $0.2 million in travel and entertainment expenses, and an increase of $0.1 million in additional employee-related costs, partially offset by a decrease of $0.3 million in outside services.</w:t>
      </w:r>
    </w:p>
    <w:p>
      <w:pPr>
        <w:spacing w:after="0" w:line="3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General and administrative expenses increased $1.7 million during the six months ended June 30, 2022, compared to the same period in 2021. The increase was primarily due to an increase of $1.1 million in additional employee-related costs, of which $0.9 million related to stock-based compensation, a $1.7 million increase in facilities and allocated expenses primarily related to our new 5-year lease for additional space entered into during the fourth quarter of 2021 and a $0.3 million increase in recruiting expenses. The increase was partially offset by a $1.5 million decrease in third-party expenses related to various general and administrative outside services.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320" w:lineRule="exact"/>
        <w:rPr>
          <w:sz w:val="20"/>
          <w:szCs w:val="20"/>
          <w:color w:val="auto"/>
        </w:rPr>
      </w:pPr>
    </w:p>
    <w:p>
      <w:pPr>
        <w:ind w:right="680" w:firstLine="469"/>
        <w:spacing w:after="0" w:line="261" w:lineRule="auto"/>
        <w:rPr>
          <w:sz w:val="20"/>
          <w:szCs w:val="20"/>
          <w:color w:val="auto"/>
        </w:rPr>
      </w:pPr>
      <w:r>
        <w:rPr>
          <w:rFonts w:ascii="Arial" w:cs="Arial" w:eastAsia="Arial" w:hAnsi="Arial"/>
          <w:sz w:val="18"/>
          <w:szCs w:val="18"/>
          <w:color w:val="auto"/>
        </w:rPr>
        <w:t>The following table summarizes our interest and other income (expense), net for the three and six months ended June 30, 2022 and 2021 (in thousands):</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80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280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Other (loss) income, net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(297 )</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-202 %</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(292 )</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0"/>
        </w:trPr>
        <w:tc>
          <w:tcPr>
            <w:tcW w:w="2800" w:type="dxa"/>
            <w:vAlign w:val="bottom"/>
            <w:vMerge w:val="restart"/>
          </w:tcPr>
          <w:p>
            <w:pPr>
              <w:ind w:left="380"/>
              <w:spacing w:after="0" w:line="176" w:lineRule="exact"/>
              <w:rPr>
                <w:sz w:val="20"/>
                <w:szCs w:val="20"/>
                <w:color w:val="auto"/>
              </w:rPr>
            </w:pPr>
            <w:r>
              <w:rPr>
                <w:rFonts w:ascii="Arial" w:cs="Arial" w:eastAsia="Arial" w:hAnsi="Arial"/>
                <w:sz w:val="18"/>
                <w:szCs w:val="18"/>
                <w:color w:val="auto"/>
                <w:w w:val="96"/>
              </w:rPr>
              <w:t>Total interest and other income</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00" w:type="dxa"/>
            <w:vAlign w:val="bottom"/>
            <w:vMerge w:val="continue"/>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516</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(225 )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-329 %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510</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(114 )</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-548 %</w:t>
            </w:r>
          </w:p>
        </w:tc>
        <w:tc>
          <w:tcPr>
            <w:tcW w:w="0" w:type="dxa"/>
            <w:vAlign w:val="bottom"/>
          </w:tcPr>
          <w:p>
            <w:pPr>
              <w:spacing w:after="0"/>
              <w:rPr>
                <w:sz w:val="1"/>
                <w:szCs w:val="1"/>
                <w:color w:val="auto"/>
              </w:rPr>
            </w:pPr>
          </w:p>
        </w:tc>
      </w:tr>
      <w:tr>
        <w:trPr>
          <w:trHeight w:val="175"/>
        </w:trPr>
        <w:tc>
          <w:tcPr>
            <w:tcW w:w="2800" w:type="dxa"/>
            <w:vAlign w:val="bottom"/>
          </w:tcPr>
          <w:p>
            <w:pPr>
              <w:ind w:left="380"/>
              <w:spacing w:after="0" w:line="156" w:lineRule="exact"/>
              <w:rPr>
                <w:sz w:val="20"/>
                <w:szCs w:val="20"/>
                <w:color w:val="auto"/>
              </w:rPr>
            </w:pPr>
            <w:r>
              <w:rPr>
                <w:rFonts w:ascii="Arial" w:cs="Arial" w:eastAsia="Arial" w:hAnsi="Arial"/>
                <w:sz w:val="18"/>
                <w:szCs w:val="18"/>
                <w:color w:val="auto"/>
              </w:rPr>
              <w:t>(expense), net</w:t>
            </w:r>
          </w:p>
        </w:tc>
        <w:tc>
          <w:tcPr>
            <w:tcW w:w="1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-504825</wp:posOffset>
            </wp:positionV>
            <wp:extent cx="698627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86270"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-239395</wp:posOffset>
            </wp:positionV>
            <wp:extent cx="6986270" cy="240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86270" cy="240030"/>
                    </a:xfrm>
                    <a:prstGeom prst="rect">
                      <a:avLst/>
                    </a:prstGeom>
                    <a:noFill/>
                  </pic:spPr>
                </pic:pic>
              </a:graphicData>
            </a:graphic>
          </wp:anchor>
        </w:drawing>
      </w:r>
    </w:p>
    <w:p>
      <w:pPr>
        <w:spacing w:after="0" w:line="168" w:lineRule="exact"/>
        <w:rPr>
          <w:sz w:val="20"/>
          <w:szCs w:val="20"/>
          <w:color w:val="auto"/>
        </w:rPr>
      </w:pPr>
    </w:p>
    <w:p>
      <w:pPr>
        <w:ind w:right="620" w:firstLine="509"/>
        <w:spacing w:after="0" w:line="291" w:lineRule="auto"/>
        <w:rPr>
          <w:sz w:val="20"/>
          <w:szCs w:val="20"/>
          <w:color w:val="auto"/>
        </w:rPr>
      </w:pPr>
      <w:r>
        <w:rPr>
          <w:rFonts w:ascii="Arial" w:cs="Arial" w:eastAsia="Arial" w:hAnsi="Arial"/>
          <w:sz w:val="17"/>
          <w:szCs w:val="17"/>
          <w:color w:val="auto"/>
        </w:rPr>
        <w:t>Interest income, net increased by $0.1 million for the three months ended June 30, 2022 compared to the three months ended June 30, 2021, primarily due to the change in our portfolio of cash equivalents and investments which resulted in a higher interest yield.</w:t>
      </w:r>
    </w:p>
    <w:p>
      <w:pPr>
        <w:spacing w:after="0" w:line="133"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Interest income, net increased by $0.1 million for the six months ended June 30, 2022 compared to the six months ended June 30, 2021, primarily due to the change in our portfolio of cash equivalents and investments which resulted in a higher interest yield.</w:t>
      </w:r>
    </w:p>
    <w:p>
      <w:pPr>
        <w:spacing w:after="0" w:line="63"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Other (loss) income, net increased for the three months ended June 30, 2022 compared to the three months ended June 30, 2021. The current quarter increase was due primarily to foreign currency exchange losses versus the U.S. dollar.</w:t>
      </w:r>
    </w:p>
    <w:p>
      <w:pPr>
        <w:spacing w:after="0" w:line="63"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Other (loss) income, net increased for the six months ended June 30, 2022 compared to the six months ended June 30, 2021. The increase was due primarily to foreign currency exchange losses versus the U.S. dollar.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Since our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 To date, we have financed our operations through private placements of preferred stock, issuances of common stock and convertible debt. Through June 30, 2022, we had received gross proceeds of $269.1 million from sales of our preferred stock, issuances of common stock and our issuance of convertible debt. As of June 30, 2022, we had unrestricted cash, cash equivalents and investments of $159.3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have incurred net losses since inception. Our primary use of cash is to fund operating expenses, which consist primarily of research and development costs related to our drug candidates and our discovery programs, and to a lesser extent, general and administrative expenditures. Our expenses may increase substantially in connection with our ongoing clinical development activities related to our most advanced drug candidate ALG-000184, for which we have initiated clinical trials, as well as our research and development of our other drug candidates within our CHB, NASH and coronavirus programs.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we incur costs associated with operating as a public company. We expect that our expenses will increase substantially to the extent we:</w:t>
      </w:r>
    </w:p>
    <w:p>
      <w:pPr>
        <w:spacing w:after="0" w:line="127"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our current and future clinical trials, and additional nonclinical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and continue research and nonclinical and clinical development of other drug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identify additional drug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pursue marketing approvals for any of our drug candidates that successfully complete clinical trials, if 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the manufacture of larger quantities of our drug candidates for clinical development and potentially commercialization;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milestones triggering payments by us under our current and potential future licensing and/or collaboration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build out or expand existing facilities to support our ongoing development activity;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and any future commercialization efforts.</w:t>
      </w:r>
    </w:p>
    <w:p>
      <w:pPr>
        <w:spacing w:after="0" w:line="17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As of June 30, 2022, we had unrestricted cash, cash equivalents and investments of $159.3 million. On October 20, 2020, we closed our IPO at a public offering price of $15.00 per share for net proceeds of $135.4 million, after deducting underwriting discounts and commissions. On November 5, 2020, the underwriters of the IPO partially exercised their overallotment, resulting in an additional $16.0 million in net proceeds, after deducting underwriting discounts and commissions. We believe that our existing unrestricted cash, cash equivalents and investments will enable us to fund our planned operating expenses and capital expenditure requirements through at least the next twelve months. We have based this estimate on assumptions that may prove to be wrong, and we could exhaust our available capital resources sooner than we expect. Furthermore, we may elect to raise additional capital on an opportunistic basis to fund operations.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5" w:name="page26"/>
    <w:bookmarkEnd w:id="25"/>
    <w:p>
      <w:pPr>
        <w:ind w:right="200" w:firstLine="509"/>
        <w:spacing w:after="0" w:line="243" w:lineRule="auto"/>
        <w:rPr>
          <w:sz w:val="20"/>
          <w:szCs w:val="20"/>
          <w:color w:val="auto"/>
        </w:rPr>
      </w:pPr>
      <w:r>
        <w:rPr>
          <w:rFonts w:ascii="Arial" w:cs="Arial" w:eastAsia="Arial" w:hAnsi="Arial"/>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80" w:lineRule="exact"/>
        <w:rPr>
          <w:sz w:val="20"/>
          <w:szCs w:val="20"/>
          <w:color w:val="auto"/>
        </w:rPr>
      </w:pPr>
    </w:p>
    <w:p>
      <w:pPr>
        <w:ind w:left="1020" w:right="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15" w:lineRule="exact"/>
        <w:rPr>
          <w:rFonts w:ascii="Arial" w:cs="Arial" w:eastAsia="Arial" w:hAnsi="Arial"/>
          <w:sz w:val="17"/>
          <w:szCs w:val="17"/>
          <w:color w:val="auto"/>
        </w:rPr>
      </w:pPr>
    </w:p>
    <w:p>
      <w:pPr>
        <w:jc w:val="both"/>
        <w:ind w:left="1020" w:right="380" w:hanging="503"/>
        <w:spacing w:after="0" w:line="24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3" w:lineRule="exact"/>
        <w:rPr>
          <w:rFonts w:ascii="Arial" w:cs="Arial" w:eastAsia="Arial" w:hAnsi="Arial"/>
          <w:sz w:val="18"/>
          <w:szCs w:val="18"/>
          <w:color w:val="auto"/>
        </w:rPr>
      </w:pPr>
    </w:p>
    <w:p>
      <w:pPr>
        <w:ind w:left="1020" w:right="12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current and future drug candidates for clinical trials in preparation for marketing approval and commercialization;</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 including milestone payments to our licensors;</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lawsuits related to our drug candidates or commenced against us, including the costs associated with our current litigation with Janssen;</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emergence of competing therapies for hepatological indications and viral diseases and other adverse market developments;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12"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7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your ownership interest.</w:t>
      </w:r>
    </w:p>
    <w:p>
      <w:pPr>
        <w:spacing w:after="0" w:line="175"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Cash flows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 (in thousands):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6"/>
          </w:tcPr>
          <w:p>
            <w:pPr>
              <w:ind w:left="38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53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5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(45,469</w:t>
            </w:r>
          </w:p>
        </w:tc>
        <w:tc>
          <w:tcPr>
            <w:tcW w:w="1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(52,814</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Pr>
          <w:p>
            <w:pPr>
              <w:spacing w:after="0"/>
              <w:rPr>
                <w:sz w:val="17"/>
                <w:szCs w:val="17"/>
                <w:color w:val="auto"/>
              </w:rPr>
            </w:pP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(70,380 )</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19,541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3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173</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360" w:type="dxa"/>
            <w:vAlign w:val="bottom"/>
          </w:tcPr>
          <w:p>
            <w:pPr>
              <w:spacing w:after="0" w:line="182" w:lineRule="exact"/>
              <w:rPr>
                <w:sz w:val="20"/>
                <w:szCs w:val="20"/>
                <w:color w:val="auto"/>
              </w:rPr>
            </w:pPr>
            <w:r>
              <w:rPr>
                <w:rFonts w:ascii="Arial" w:cs="Arial" w:eastAsia="Arial" w:hAnsi="Arial"/>
                <w:sz w:val="18"/>
                <w:szCs w:val="18"/>
                <w:color w:val="auto"/>
              </w:rPr>
              <w:t>Net decrease in cash, cash equivalents, and restricted cash</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(115,787 )</w:t>
            </w: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(33,100 )</w:t>
            </w:r>
          </w:p>
        </w:tc>
        <w:tc>
          <w:tcPr>
            <w:tcW w:w="20" w:type="dxa"/>
            <w:vAlign w:val="bottom"/>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5170170</wp:posOffset>
            </wp:positionH>
            <wp:positionV relativeFrom="paragraph">
              <wp:posOffset>-680720</wp:posOffset>
            </wp:positionV>
            <wp:extent cx="6858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-680720</wp:posOffset>
            </wp:positionV>
            <wp:extent cx="6858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-159385</wp:posOffset>
            </wp:positionV>
            <wp:extent cx="431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 xml:space="preserve">During the six months ended June 30, 2022, operating activities used $45.5 million of cash, primarily resulting from our net loss of $55.5 million, partially offset by net changes in operating assets and liabilities of $0.4 million, and by non-cash charges of $9.6 million. Net cash used in operating activities resulted in changes in our operating assets and liabilities of $0.4 million, consisting of an increase of $8.7 million in deferred revenue from collaborations, an increase in other assets of $5.6 million, partially offset by a decrease of $0.3 million in accounts payable, a decrease of $12.4 million in accrued liabilities, a decrease of $1.0 million in operating lease liabilities, and a decrease of $0.3 million in right of use assets. The increase in deferred revenue from collaborations was a result of our First Amendment to the License and Research Collaboration Agreement (refer to Note 8 </w:t>
      </w:r>
      <w:r>
        <w:rPr>
          <w:rFonts w:ascii="Arial" w:cs="Arial" w:eastAsia="Arial" w:hAnsi="Arial"/>
          <w:sz w:val="16"/>
          <w:szCs w:val="16"/>
          <w:i w:val="1"/>
          <w:iCs w:val="1"/>
          <w:color w:val="auto"/>
        </w:rPr>
        <w:t>License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collaboration agreements, </w:t>
      </w:r>
      <w:r>
        <w:rPr>
          <w:rFonts w:ascii="Arial" w:cs="Arial" w:eastAsia="Arial" w:hAnsi="Arial"/>
          <w:sz w:val="16"/>
          <w:szCs w:val="16"/>
          <w:color w:val="auto"/>
        </w:rPr>
        <w:t>for details), partially offset by the recognition of revenue from collaborations due to progress towards the completion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projects. The decrease in accrued liabilities was largely due to charges related to the discontinuation of our ASO and STOPs drug candidates (refer to Note 12, </w:t>
      </w:r>
      <w:r>
        <w:rPr>
          <w:rFonts w:ascii="Arial" w:cs="Arial" w:eastAsia="Arial" w:hAnsi="Arial"/>
          <w:sz w:val="16"/>
          <w:szCs w:val="16"/>
          <w:i w:val="1"/>
          <w:iCs w:val="1"/>
          <w:color w:val="auto"/>
        </w:rPr>
        <w:t>Discontinued Development of Drug Candidates,</w:t>
      </w:r>
      <w:r>
        <w:rPr>
          <w:rFonts w:ascii="Arial" w:cs="Arial" w:eastAsia="Arial" w:hAnsi="Arial"/>
          <w:sz w:val="16"/>
          <w:szCs w:val="16"/>
          <w:color w:val="auto"/>
        </w:rPr>
        <w:t xml:space="preserve"> in the “Notes to Unaudited Condensed Consolidated Financial Statements” contained in Part I, Item 1 of this report for details) and payment of the annual bonus in 2022 that was accrued for in 2021.</w:t>
      </w:r>
    </w:p>
    <w:p>
      <w:pPr>
        <w:spacing w:after="0" w:line="17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During the six months ended June 30, 2021, operating activities used $52.8 million of cash, primarily resulting from our net loss of $57.5 million and cash used in changes in our operating assets and liabilities of $3.4 million, partially offset by non-cash charges of $8.1 million. Net cash used in changes in our operating assets and liabilities of $3.4 million consisted of a decrease of $2.5 million in deferred revenue from collaborations, a decrease of $0.6 million in operating lease liabilities, a decrease of $0.1 million in other liabilities, and an increase of $0.3 in other assets. The decrease in deferred revenue from collaborations was a result of recognition of revenue from collaborations due to progress towards the completion of the project. The decrease in the operating lease liability was a result of payments made on outstanding lease obligations.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During the six months ended June 30, 2022, investing activities utilized $70.4 million of cash, primarily for $74.8 million of investment purchases, and $0.8 million of property and equipment purchases, partially offset by $5.2 million of investment maturities.</w:t>
      </w:r>
    </w:p>
    <w:p>
      <w:pPr>
        <w:spacing w:after="0" w:line="15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During the six months ended June 30, 2021, investing activities provided $19.5 million of cash, consisting primarily of $20.0 million of investment maturities, offset by $0.5 million of purchases of property and equipment.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During the six months ended June 30, 2022, net cash provided by financing activities was $0.1, consisting primarily of proceeds from the purchase of shares in our Employee Stock Purchase Plan, partially offset by payments of our finance leases.</w:t>
      </w:r>
    </w:p>
    <w:p>
      <w:pPr>
        <w:spacing w:after="0" w:line="171"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During the six months ended June 30, 2021, net cash provided by financing activities was $0.2 million, consisting primarily of proceeds from the exercise of stock options, partially offset by payments of deferred offering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We have no material changes to our contractual obligations and commitments as of June 30, 2022 as disclosed in the contractual obligations and commitment section in our Annual Report on Form 10-K filed with the SEC on March 10, 2022, except for the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27" w:name="page28"/>
    <w:bookmarkEnd w:id="27"/>
    <w:p>
      <w:pPr>
        <w:ind w:right="20"/>
        <w:spacing w:after="0" w:line="261" w:lineRule="auto"/>
        <w:rPr>
          <w:sz w:val="20"/>
          <w:szCs w:val="20"/>
          <w:color w:val="auto"/>
        </w:rPr>
      </w:pPr>
      <w:r>
        <w:rPr>
          <w:rFonts w:ascii="Arial" w:cs="Arial" w:eastAsia="Arial" w:hAnsi="Arial"/>
          <w:sz w:val="18"/>
          <w:szCs w:val="18"/>
          <w:color w:val="auto"/>
        </w:rPr>
        <w:t xml:space="preserve">amount disclosed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the “Notes to Unaudited Condensed Consolidated Financial Statements” contained in Part I, Item 1 of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08" w:lineRule="exact"/>
        <w:rPr>
          <w:sz w:val="20"/>
          <w:szCs w:val="20"/>
          <w:color w:val="auto"/>
        </w:rPr>
      </w:pPr>
    </w:p>
    <w:p>
      <w:pPr>
        <w:ind w:right="180" w:firstLine="509"/>
        <w:spacing w:after="0" w:line="255"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jc w:val="both"/>
        <w:ind w:right="220" w:firstLine="509"/>
        <w:spacing w:after="0" w:line="262" w:lineRule="auto"/>
        <w:rPr>
          <w:sz w:val="20"/>
          <w:szCs w:val="20"/>
          <w:color w:val="auto"/>
        </w:rPr>
      </w:pPr>
      <w:r>
        <w:rPr>
          <w:rFonts w:ascii="Arial" w:cs="Arial" w:eastAsia="Arial" w:hAnsi="Arial"/>
          <w:sz w:val="17"/>
          <w:szCs w:val="17"/>
          <w:color w:val="auto"/>
        </w:rPr>
        <w:t>For a discussion of our critical accounting estimates, see “Management’s discussion and analysis of financial condition and results of operations” and the notes to our audited financial statements in our annual report on Form 10-K, filed with the SEC on March 10, 2022 for the year ended December 31, 2021, and the notes to the financial statements appearing elsewhere in this Quarterly Report on Form 10-Q. There have been no material changes to these critical accounting policies and estimates through June 30, 2022 from those discussed in our Form 10-K.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0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For a description of the expected impact of recently adopted accounting pronouncements, see Note 2. Summary of Significant Accounting Policies in the “Notes to Unaudited Condensed Consolidated Financial Statements” contained in Part I, Item 1 of this report.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are exposed to market risk related to changes in interest rates applicable to our investment portfolio of cash equivalents and short-term investments. As of June 30, 2022, our cash equivalents consisted primarily of money market funds, and our investments consisted of certificates of deposit available-for-sale securities. Our primary exposure to market risk is interest income sensitivity, which is affected by changes in the general level of U.S. interest rates. Should U.S. interest rates decline, interest income would be reduced in future periods for short-term investments which mature and the proceeds of which are reinvested in similar instruments at lower interest rates. Additionally, the fair value of our short-term investments is subject to change as a result of potential changes in market interest rates, including changes resulting from the impact of the COVID-19 pandemic. The potential change in fair value from interest-rate-sensitive instruments has been assessed on a hypothetical 100 basis point adverse movement across all maturities. As of June 30, 2022, we estimate that a hypothetical 100 basis point adverse movement would not result in a material impact on our financial position or results of operations or cash flows. As of June 30, 2022, we had no debt outstanding, besides short-term payables arising in the normal course of business, and are therefore not exposed to interest rate risk with respect to debt.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have employees and operations, including contracts with third-party vendors, in Europe through our subsidiary Aligos Belgium BVBA. We have similar, but more limited, operations in Australia and China. Though the functional currency in these 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We have established disclosure controls and procedures (as defined in Rules 13a-15(e) and 15d-15(e) under the Exchange Act) designed to ensure that information required to be disclosed in the reports that we file or submit under the Securities Exchange Act of 1934, as amended, or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June 30, 2022, our disclosure controls and procedures were effective.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fiscal quarter ended June 30, 2022 that has materially affected, or is reasonably likely to materially affect, our internal control over financial reporting.</w:t>
      </w:r>
    </w:p>
    <w:p>
      <w:pPr>
        <w:spacing w:after="0" w:line="18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a result of the COVID-19 pandemic, in March 2020, substantially all of our employees began working remotely. Since the availability of COVID-19 vaccines in 2021, almost all of our employees have been fully vaccinated and as a result, we are allowing such employees to return to work subject to certain COVID-19 related protocols and policies we have in place which may be modified from time to time in response to the evolution of the pandemic. We have not identified any material changes in our internal control over financial reporting as a result of these changes to the working environment, in part because our internal control over financial reporting was designed to operate in a remote working environment. We are continually monitoring and assessing the COVID-19 situation to determine any potential impacts on the design and operating effectiveness of our internal controls over financial reporting.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From time to time, we may become involved in litigation or other legal proceedings. While the outcome of any such proceedings cannot be predicted with certainty, except as described below, we are not currently involved in any legal proceedings that we believe are, individually or in the aggregate, material to our business, results of operations or financial condition. However, regardless of the outcome, litigation can have an adverse impact on us because of associated cost and diversion of management time.</w:t>
      </w:r>
    </w:p>
    <w:p>
      <w:pPr>
        <w:spacing w:after="0" w:line="80"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On March 26, 2022, the Company received notice of a complaint (the Complaint) filed by Janssen Biopharma, LLC (Janssen), which generally concerned an alleged breach by certain of our employees of their obligations to Janssen as prior employees of Janssen by purporting to assign to Aligos various inventions allegedly owned by Janssen. The Complaint was filed on March 9, 2022 in the Superior Court of the State of California, County of San Mateo, against the Company, Lawrence M. Blatt, Chairman, Chief Executive Officer and Director of the Company, and Leonid Beigelman, President and Director of the Company. The Complaint alleges breach of contract by Lawrence M. Blatt and Leonid Beigelman and tortious interference with contract by the Company and seeks declaratory judgment of ownership of certain intellectual property by the Company, among other claims. The Complaint states that Janssen is seeking injunctive relief, assignment of certain intellectual property from us to Janssen and monetary damages. The Company believes the allegations in the Complaint are without merit and intends to defend itself vigorously.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Many of the following risks and uncertainties are, and will be, exacerbated by the coronavirus pandemic (COVID-19) and any worsening of the global business and economic environment as a result.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108"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b w:val="1"/>
          <w:bCs w:val="1"/>
          <w:i w:val="1"/>
          <w:iCs w:val="1"/>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56"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spacing w:after="0" w:line="159"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Since inception, we have incurred significant net losses. Our net losses were $19.9 million and $55.5 million for the three and six months ended June 30, 2022, respectively, and $128.3 million for the year ended December 31, 2021. As of June 30, 2022, we had a total stockholders’ equity of $137.0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04"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0" w:name="page31"/>
    <w:bookmarkEnd w:id="30"/>
    <w:p>
      <w:pPr>
        <w:ind w:right="320"/>
        <w:spacing w:after="0" w:line="261" w:lineRule="auto"/>
        <w:rPr>
          <w:sz w:val="20"/>
          <w:szCs w:val="20"/>
          <w:color w:val="auto"/>
        </w:rPr>
      </w:pPr>
      <w:r>
        <w:rPr>
          <w:rFonts w:ascii="Arial" w:cs="Arial" w:eastAsia="Arial" w:hAnsi="Arial"/>
          <w:sz w:val="18"/>
          <w:szCs w:val="18"/>
          <w:color w:val="auto"/>
        </w:rPr>
        <w:t>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63"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completing clinical and nonclinical development of drug candidates and programs and identifying and developing new drug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drug candidates that we develop;</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drug candidates that we develop;</w:t>
      </w:r>
    </w:p>
    <w:p>
      <w:pPr>
        <w:spacing w:after="0" w:line="103" w:lineRule="exact"/>
        <w:rPr>
          <w:rFonts w:ascii="Arial" w:cs="Arial" w:eastAsia="Arial" w:hAnsi="Arial"/>
          <w:sz w:val="18"/>
          <w:szCs w:val="18"/>
          <w:color w:val="auto"/>
        </w:rPr>
      </w:pPr>
    </w:p>
    <w:p>
      <w:pPr>
        <w:ind w:left="1020" w:right="40" w:hanging="503"/>
        <w:spacing w:after="0" w:line="324"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market acceptance of drug candidates that we develop as viable treatment options;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technological and market developments;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maintaining, protecting, enforcing and expanding our portfolio of intellectual property rights, including patents, trade secrets and know-how;</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297"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6"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As of June 30, 2022, we had unrestricted cash, cash equivalents and investments of $159.3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04" w:lineRule="exact"/>
        <w:rPr>
          <w:sz w:val="20"/>
          <w:szCs w:val="20"/>
          <w:color w:val="auto"/>
        </w:rPr>
      </w:pPr>
    </w:p>
    <w:p>
      <w:pPr>
        <w:ind w:left="1020" w:right="8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15" w:lineRule="exact"/>
        <w:rPr>
          <w:rFonts w:ascii="Arial" w:cs="Arial" w:eastAsia="Arial" w:hAnsi="Arial"/>
          <w:sz w:val="17"/>
          <w:szCs w:val="17"/>
          <w:color w:val="auto"/>
        </w:rPr>
      </w:pPr>
    </w:p>
    <w:p>
      <w:pPr>
        <w:jc w:val="both"/>
        <w:ind w:left="1020" w:right="400" w:hanging="503"/>
        <w:spacing w:after="0" w:line="24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ind w:left="1020" w:right="124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our current and future drug candidates for clinical trials in preparation for marketing approval and commercialization;</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 including milestone payments to our licensors;</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lawsuits related to our drug candidates or commenced against us, including the costs associated with our current litigation with Janssen;</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emergence of competing therapies for hepatological indications and viral diseases and other adverse market developments;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1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the COVID-19 pandemic and the macro-economic environment generally.</w:t>
      </w:r>
    </w:p>
    <w:p>
      <w:pPr>
        <w:spacing w:after="0" w:line="180"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For example, the COVID-19 pandemic, the current inflationary economic environment and rising interest rates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81" w:lineRule="exact"/>
        <w:rPr>
          <w:sz w:val="20"/>
          <w:szCs w:val="20"/>
          <w:color w:val="auto"/>
        </w:rPr>
      </w:pPr>
    </w:p>
    <w:p>
      <w:pPr>
        <w:ind w:left="1020" w:right="2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limit, reduce or terminate nonclinical studies, clinical trials or other research and development activities or eliminate one or more of our development programs altogether; or</w:t>
      </w:r>
    </w:p>
    <w:p>
      <w:pPr>
        <w:spacing w:after="0" w:line="62" w:lineRule="exact"/>
        <w:rPr>
          <w:rFonts w:ascii="Arial" w:cs="Arial" w:eastAsia="Arial" w:hAnsi="Arial"/>
          <w:sz w:val="18"/>
          <w:szCs w:val="18"/>
          <w:color w:val="auto"/>
        </w:rPr>
      </w:pPr>
    </w:p>
    <w:p>
      <w:pPr>
        <w:jc w:val="both"/>
        <w:ind w:left="1020" w:right="300" w:hanging="503"/>
        <w:spacing w:after="0" w:line="24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29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63" w:lineRule="exact"/>
        <w:rPr>
          <w:sz w:val="20"/>
          <w:szCs w:val="20"/>
          <w:color w:val="auto"/>
        </w:rPr>
      </w:pPr>
    </w:p>
    <w:p>
      <w:pPr>
        <w:ind w:right="640" w:firstLine="509"/>
        <w:spacing w:after="0" w:line="291" w:lineRule="auto"/>
        <w:rPr>
          <w:sz w:val="20"/>
          <w:szCs w:val="20"/>
          <w:color w:val="auto"/>
        </w:rPr>
      </w:pPr>
      <w:r>
        <w:rPr>
          <w:rFonts w:ascii="Arial" w:cs="Arial" w:eastAsia="Arial" w:hAnsi="Arial"/>
          <w:sz w:val="17"/>
          <w:szCs w:val="17"/>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39" w:lineRule="exact"/>
        <w:rPr>
          <w:sz w:val="20"/>
          <w:szCs w:val="20"/>
          <w:color w:val="auto"/>
        </w:rPr>
      </w:pPr>
    </w:p>
    <w:p>
      <w:pPr>
        <w:ind w:left="1020" w:right="1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03" w:lineRule="exact"/>
        <w:rPr>
          <w:rFonts w:ascii="Arial" w:cs="Arial" w:eastAsia="Arial" w:hAnsi="Arial"/>
          <w:sz w:val="18"/>
          <w:szCs w:val="18"/>
          <w:color w:val="auto"/>
        </w:rPr>
      </w:pPr>
    </w:p>
    <w:p>
      <w:pPr>
        <w:ind w:left="1020" w:right="520" w:hanging="503"/>
        <w:spacing w:after="0" w:line="291"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38" w:lineRule="exact"/>
        <w:rPr>
          <w:rFonts w:ascii="Arial" w:cs="Arial" w:eastAsia="Arial" w:hAnsi="Arial"/>
          <w:sz w:val="17"/>
          <w:szCs w:val="17"/>
          <w:color w:val="auto"/>
        </w:rPr>
      </w:pPr>
    </w:p>
    <w:p>
      <w:pPr>
        <w:ind w:left="1020" w:right="24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produced, and the terms of any agreements we enter into with third-party suppliers;</w:t>
      </w:r>
    </w:p>
    <w:p>
      <w:pPr>
        <w:spacing w:after="0" w:line="62"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amount of any milestone, royalty or other payments due under any current or future collaboration or license agreement, including our existing license agreements with Emory University (Emory) and KU Leuven;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2" w:name="page33"/>
    <w:bookmarkEnd w:id="32"/>
    <w:p>
      <w:pPr>
        <w:ind w:left="1020" w:right="68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any future approved products, and potential future drugs that compete with our products;</w:t>
      </w:r>
    </w:p>
    <w:p>
      <w:pPr>
        <w:spacing w:after="0" w:line="62" w:lineRule="exact"/>
        <w:rPr>
          <w:rFonts w:ascii="Arial" w:cs="Arial" w:eastAsia="Arial" w:hAnsi="Arial"/>
          <w:sz w:val="18"/>
          <w:szCs w:val="18"/>
          <w:color w:val="auto"/>
        </w:rPr>
      </w:pPr>
    </w:p>
    <w:p>
      <w:pPr>
        <w:ind w:left="1020" w:right="20" w:hanging="503"/>
        <w:spacing w:after="0" w:line="29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and cost to establish a sales, marketing, medical affairs and distribution infrastructure to commercialize any products for which we may obtain marketing approval and intend to commercialize on our own or jointly with current or future collaborators;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expenditures that we may incur in any lawsuits related to our drug candidates or commenced against us, including the costs associated with our current litigation with Janssen;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principles or our accounting policies; and</w:t>
      </w:r>
    </w:p>
    <w:p>
      <w:pPr>
        <w:spacing w:after="0" w:line="103" w:lineRule="exact"/>
        <w:rPr>
          <w:rFonts w:ascii="Arial" w:cs="Arial" w:eastAsia="Arial" w:hAnsi="Arial"/>
          <w:sz w:val="18"/>
          <w:szCs w:val="18"/>
          <w:color w:val="auto"/>
        </w:rPr>
      </w:pPr>
    </w:p>
    <w:p>
      <w:pPr>
        <w:ind w:left="1020" w:right="140" w:hanging="503"/>
        <w:spacing w:after="0" w:line="29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147"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2"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26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Our business could be materially adversely affected by the effects of health pandemics or epidemics, including the current outbreak of COVID-19 and future coronavirus outbreaks, and in particular in regions where we or third parties on which we rely have significant manufacturing facilities, concentrations of clinical trial sites or other business operations, including the San Francisco Bay Area where our headquarters are located.</w:t>
      </w:r>
    </w:p>
    <w:p>
      <w:pPr>
        <w:spacing w:after="0" w:line="39" w:lineRule="exact"/>
        <w:rPr>
          <w:sz w:val="20"/>
          <w:szCs w:val="20"/>
          <w:color w:val="auto"/>
        </w:rPr>
      </w:pPr>
    </w:p>
    <w:p>
      <w:pPr>
        <w:ind w:right="40" w:firstLine="749"/>
        <w:spacing w:after="0" w:line="267" w:lineRule="auto"/>
        <w:rPr>
          <w:sz w:val="20"/>
          <w:szCs w:val="20"/>
          <w:color w:val="auto"/>
        </w:rPr>
      </w:pPr>
      <w:r>
        <w:rPr>
          <w:rFonts w:ascii="Arial" w:cs="Arial" w:eastAsia="Arial" w:hAnsi="Arial"/>
          <w:sz w:val="16"/>
          <w:szCs w:val="16"/>
          <w:color w:val="auto"/>
        </w:rPr>
        <w:t>Our business could be materially adversely affected by the effects of health pandemics or epidemics, including the current outbreak of COVID-19, which the World Health Organization declared a global pandemic and which has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implemented work-from-home policies for most of our employees. Since the availability of COVID-19 vaccines, almost all of our employees have been fully vaccinated and as a result, we are allowing such employees to return to work, subject to certain COVID-19 related protocols and policies we have put in place and which are modified from time to time as appropriate. However, as the global COVID-19 pandemic and orders and guidance from state and local governments continue to evolve, we may need to reverse course and again implement work-from-home policies as necessary. For example, given the Omicron variant of COVID-19, we again implemented work-from-home policies for our employees in January 2022. While we have allowed our employees to return to work at our U.S. facility as of March 2022, we continue to monitor the COVID-19 situation and may once again reverse course periodically as necessary. Government-imposed quarantines and our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upticks in COVID-19 cases and other limitations on our ability to conduct our business in the ordinary course. Although we do not anticipate any impacts to our clinical programs, these and similar, and perhaps more severe, disruptions in our operations could negatively impact our business, operating results and financial condition in the future.</w:t>
      </w:r>
    </w:p>
    <w:p>
      <w:pPr>
        <w:spacing w:after="0" w:line="71"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Quarantines, shutdowns and shelter-in-place and similar government orders related to COVID-19 or other infectious diseases, or the perception that such events, orders or other restrictions on the conduct of business operations could occur, could adversely impact personnel at third-party manufacturing facilities in the United States and other countries, or the availability or cost of materials, which would disrupt our supply chain. Restrictions resulting from the COVID-19 outbreak may at any time disrupt our supply chain and delay or limit our ability to obtain sufficient materials for our drug candidates.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3" w:name="page34"/>
    <w:bookmarkEnd w:id="33"/>
    <w:p>
      <w:pPr>
        <w:ind w:right="100" w:firstLine="749"/>
        <w:spacing w:after="0" w:line="279" w:lineRule="auto"/>
        <w:rPr>
          <w:sz w:val="20"/>
          <w:szCs w:val="20"/>
          <w:color w:val="auto"/>
        </w:rPr>
      </w:pPr>
      <w:r>
        <w:rPr>
          <w:rFonts w:ascii="Arial" w:cs="Arial" w:eastAsia="Arial" w:hAnsi="Arial"/>
          <w:sz w:val="16"/>
          <w:szCs w:val="16"/>
          <w:color w:val="auto"/>
        </w:rPr>
        <w:t>In addition, our current clinical trial and planned clinical trials may be affected by the ongoing COVID-19 pandemic. Site initiation and patient enrollment may be delayed due to prioritization of hospital resources toward the COVID-19 pandemic,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COVID-19, may be delayed or disrupted, which may adversely impact our clinical trial operations.</w:t>
      </w:r>
    </w:p>
    <w:p>
      <w:pPr>
        <w:spacing w:after="0" w:line="51"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In addition, the global COVID-19 pandemic has adversely affected, and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80"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In addition, while the duration and severity of the effects of COVID-19 may be difficult to assess or predict,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the COVID-19 pandemic or other health pandemics or epidemics could materially adversely affect the value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regulatory process</w:t>
      </w:r>
    </w:p>
    <w:p>
      <w:pPr>
        <w:spacing w:after="0" w:line="108"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b w:val="1"/>
          <w:bCs w:val="1"/>
          <w:i w:val="1"/>
          <w:iCs w:val="1"/>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39" w:lineRule="exact"/>
        <w:rPr>
          <w:sz w:val="20"/>
          <w:szCs w:val="20"/>
          <w:color w:val="auto"/>
        </w:rPr>
      </w:pPr>
    </w:p>
    <w:p>
      <w:pPr>
        <w:ind w:firstLine="509"/>
        <w:spacing w:after="0" w:line="263" w:lineRule="auto"/>
        <w:rPr>
          <w:sz w:val="20"/>
          <w:szCs w:val="20"/>
          <w:color w:val="auto"/>
        </w:rPr>
      </w:pPr>
      <w:r>
        <w:rPr>
          <w:rFonts w:ascii="Arial" w:cs="Arial" w:eastAsia="Arial" w:hAnsi="Arial"/>
          <w:sz w:val="16"/>
          <w:szCs w:val="16"/>
          <w:color w:val="auto"/>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CHB portfolio previously included our STOPS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drug candidate, ALG-010133, one of our proprietary s-antigen transport-inhibiting oligonucleotide polymers that was in a Phase 1b dose range finding trial (NCT04485663) evaluating subjects with CHB as well as our proprietary antisense oligonucleotide, ALG-020572, that was in a Phase 1a/1b umbrella study (NCT05001022) and for which dosing in CHB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CHB subject and several additional subjects experiencing ALT flares. 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17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91"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20"/>
        <w:spacing w:after="0" w:line="279" w:lineRule="auto"/>
        <w:rPr>
          <w:sz w:val="20"/>
          <w:szCs w:val="20"/>
          <w:color w:val="auto"/>
        </w:rPr>
      </w:pPr>
      <w:r>
        <w:rPr>
          <w:rFonts w:ascii="Arial" w:cs="Arial" w:eastAsia="Arial" w:hAnsi="Arial"/>
          <w:sz w:val="16"/>
          <w:szCs w:val="16"/>
          <w:color w:val="auto"/>
        </w:rPr>
        <w:t>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159"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our current and future drug candidates will depend on many factors, which may include the following:</w:t>
      </w:r>
    </w:p>
    <w:p>
      <w:pPr>
        <w:spacing w:after="0" w:line="104" w:lineRule="exact"/>
        <w:rPr>
          <w:sz w:val="20"/>
          <w:szCs w:val="20"/>
          <w:color w:val="auto"/>
        </w:rPr>
      </w:pPr>
    </w:p>
    <w:p>
      <w:pPr>
        <w:ind w:left="1020" w:right="2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and successfully utilize our drug discovery platforms;</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62" w:lineRule="exact"/>
        <w:rPr>
          <w:rFonts w:ascii="Arial" w:cs="Arial" w:eastAsia="Arial" w:hAnsi="Arial"/>
          <w:sz w:val="18"/>
          <w:szCs w:val="18"/>
          <w:color w:val="auto"/>
        </w:rPr>
      </w:pPr>
    </w:p>
    <w:p>
      <w:pPr>
        <w:ind w:left="1020" w:right="90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(INDs), clinical trial applications (CTAs) and/or similar applications in other jurisdictions for our planned and future clinical trials;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successful data from our clinical program that supports an acceptable risk-benefit profile of our drug candidates in the intended populations;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drug candidates are approved;</w:t>
      </w:r>
    </w:p>
    <w:p>
      <w:pPr>
        <w:spacing w:after="0" w:line="62" w:lineRule="exact"/>
        <w:rPr>
          <w:rFonts w:ascii="Arial" w:cs="Arial" w:eastAsia="Arial" w:hAnsi="Arial"/>
          <w:sz w:val="18"/>
          <w:szCs w:val="18"/>
          <w:color w:val="auto"/>
        </w:rPr>
      </w:pPr>
    </w:p>
    <w:p>
      <w:pPr>
        <w:ind w:left="1020" w:right="100" w:hanging="503"/>
        <w:spacing w:after="0" w:line="324"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drug candidates in select indications or geographies;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maintaining and expanding our portfolio of intellectual property rights, including patents, trade secrets and know-how;</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drug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launching commercial sales of our drug candidates, if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the drug candidate’s benefits and uses, if approved, by patients, the medical community and third-party payors;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prevalence, duration and severity of potential side effects or other safety issues experienced with our drug candidates following approval;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5" w:name="page36"/>
    <w:bookmarkEnd w:id="35"/>
    <w:p>
      <w:pPr>
        <w:ind w:right="260" w:firstLine="509"/>
        <w:spacing w:after="0" w:line="241"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29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7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(CHB)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18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51" w:lineRule="exact"/>
        <w:rPr>
          <w:sz w:val="20"/>
          <w:szCs w:val="20"/>
          <w:color w:val="auto"/>
        </w:rPr>
      </w:pPr>
    </w:p>
    <w:p>
      <w:pPr>
        <w:ind w:left="1020" w:right="44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or failure by us or third parties to comply with regulatory requirements, including the requirements of good laboratory practice (GLP);</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generate sufficient nonclinical or other in vivo or in vitro data to support the initiation of 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study design and obtaining regulatory authorization to commence clinical trials;</w:t>
      </w:r>
    </w:p>
    <w:p>
      <w:pPr>
        <w:spacing w:after="0" w:line="126" w:lineRule="exact"/>
        <w:rPr>
          <w:rFonts w:ascii="Arial" w:cs="Arial" w:eastAsia="Arial" w:hAnsi="Arial"/>
          <w:sz w:val="16"/>
          <w:szCs w:val="16"/>
          <w:color w:val="auto"/>
        </w:rPr>
      </w:pPr>
    </w:p>
    <w:p>
      <w:pPr>
        <w:ind w:left="1020" w:right="26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sufficient quantities of our drug candidates for use in nonclinical studies and clinical trials from third-party suppliers on a timely basis;</w:t>
      </w:r>
    </w:p>
    <w:p>
      <w:pPr>
        <w:spacing w:after="0" w:line="62" w:lineRule="exact"/>
        <w:rPr>
          <w:rFonts w:ascii="Arial" w:cs="Arial" w:eastAsia="Arial" w:hAnsi="Arial"/>
          <w:sz w:val="18"/>
          <w:szCs w:val="18"/>
          <w:color w:val="auto"/>
        </w:rPr>
      </w:pPr>
    </w:p>
    <w:p>
      <w:pPr>
        <w:ind w:left="1020" w:right="140" w:hanging="503"/>
        <w:spacing w:after="0" w:line="270"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delays due to the COVID-19 pandemic, including due to reduced workforce productivity as a result of our implementation of a temporary work-from-home policy or illness among personnel, or due to delays at our third-party contract research organizations throughout the world for similar reasons or due to restrictions imposed by applicable governmental authorities; and</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due to other global-scale potentially catastrophic events, including other pandemics, terrorism, war, and climate changes.</w:t>
      </w:r>
    </w:p>
    <w:p>
      <w:pPr>
        <w:spacing w:after="0" w:line="212" w:lineRule="exact"/>
        <w:rPr>
          <w:sz w:val="20"/>
          <w:szCs w:val="20"/>
          <w:color w:val="auto"/>
        </w:rPr>
      </w:pPr>
    </w:p>
    <w:p>
      <w:pPr>
        <w:jc w:val="both"/>
        <w:ind w:right="40" w:firstLine="509"/>
        <w:spacing w:after="0" w:line="243" w:lineRule="auto"/>
        <w:rPr>
          <w:sz w:val="20"/>
          <w:szCs w:val="20"/>
          <w:color w:val="auto"/>
        </w:rPr>
      </w:pPr>
      <w:r>
        <w:rPr>
          <w:rFonts w:ascii="Arial" w:cs="Arial" w:eastAsia="Arial" w:hAnsi="Arial"/>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ind w:right="300"/>
        <w:spacing w:after="0" w:line="356" w:lineRule="auto"/>
        <w:rPr>
          <w:sz w:val="20"/>
          <w:szCs w:val="20"/>
          <w:color w:val="auto"/>
        </w:rPr>
      </w:pPr>
      <w:r>
        <w:rPr>
          <w:rFonts w:ascii="Arial" w:cs="Arial" w:eastAsia="Arial" w:hAnsi="Arial"/>
          <w:sz w:val="15"/>
          <w:szCs w:val="15"/>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and future drug candidates could fail to receive regulatory approval for many reasons, including the following:</w:t>
      </w:r>
    </w:p>
    <w:p>
      <w:pPr>
        <w:spacing w:after="0" w:line="104"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15" w:lineRule="exact"/>
        <w:rPr>
          <w:rFonts w:ascii="Arial" w:cs="Arial" w:eastAsia="Arial" w:hAnsi="Arial"/>
          <w:sz w:val="17"/>
          <w:szCs w:val="17"/>
          <w:color w:val="auto"/>
        </w:rPr>
      </w:pPr>
    </w:p>
    <w:p>
      <w:pPr>
        <w:ind w:left="1020" w:right="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drug candidate is safe or effective for its proposed indication;</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03"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nonclinical studies;</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to the FDA or other submission or to obtain regulatory approval in the United States, the European Union or elsewhere;</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7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17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189"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37" w:name="page38"/>
    <w:bookmarkEnd w:id="37"/>
    <w:p>
      <w:pPr>
        <w:ind w:right="220"/>
        <w:spacing w:after="0" w:line="322" w:lineRule="auto"/>
        <w:rPr>
          <w:sz w:val="20"/>
          <w:szCs w:val="20"/>
          <w:color w:val="auto"/>
        </w:rPr>
      </w:pPr>
      <w:r>
        <w:rPr>
          <w:rFonts w:ascii="Arial" w:cs="Arial" w:eastAsia="Arial" w:hAnsi="Arial"/>
          <w:sz w:val="15"/>
          <w:szCs w:val="15"/>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21" w:lineRule="exact"/>
        <w:rPr>
          <w:sz w:val="20"/>
          <w:szCs w:val="20"/>
          <w:color w:val="auto"/>
        </w:rPr>
      </w:pPr>
    </w:p>
    <w:p>
      <w:pPr>
        <w:ind w:right="120" w:firstLine="509"/>
        <w:spacing w:after="0" w:line="211" w:lineRule="exact"/>
        <w:rPr>
          <w:sz w:val="20"/>
          <w:szCs w:val="20"/>
          <w:color w:val="auto"/>
        </w:rPr>
      </w:pPr>
      <w:r>
        <w:rPr>
          <w:rFonts w:ascii="Arial" w:cs="Arial" w:eastAsia="Arial" w:hAnsi="Arial"/>
          <w:sz w:val="16"/>
          <w:szCs w:val="16"/>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r>
      <w:r>
        <w:rPr>
          <w:rFonts w:ascii="MS PGothic" w:cs="MS PGothic" w:eastAsia="MS PGothic" w:hAnsi="MS PGothic"/>
          <w:sz w:val="16"/>
          <w:szCs w:val="16"/>
          <w:color w:val="auto"/>
        </w:rPr>
        <w:t>‑</w:t>
      </w:r>
      <w:r>
        <w:rPr>
          <w:rFonts w:ascii="Arial" w:cs="Arial" w:eastAsia="Arial" w:hAnsi="Arial"/>
          <w:sz w:val="16"/>
          <w:szCs w:val="16"/>
          <w:color w:val="auto"/>
        </w:rPr>
        <w:t>010133. This decision was based on emerging data from the Phase 1 Study ALG-010133-101, that indicated that at the projected efficacious dose (400 mg, estimated to achieve liver exposures &gt;3 x EC</w:t>
      </w:r>
      <w:r>
        <w:rPr>
          <w:rFonts w:ascii="Arial" w:cs="Arial" w:eastAsia="Arial" w:hAnsi="Arial"/>
          <w:sz w:val="21"/>
          <w:szCs w:val="21"/>
          <w:color w:val="auto"/>
          <w:vertAlign w:val="subscript"/>
        </w:rPr>
        <w:t>90</w:t>
      </w:r>
      <w:r>
        <w:rPr>
          <w:rFonts w:ascii="Arial" w:cs="Arial" w:eastAsia="Arial" w:hAnsi="Arial"/>
          <w:sz w:val="16"/>
          <w:szCs w:val="16"/>
          <w:color w:val="auto"/>
        </w:rPr>
        <w:t xml:space="preserve"> for HBsAg inhibition) there was</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no meaningful HBsAg reduction. Furthermore, higher doses levels (maximum feasible dose is 600 mg) that were planned to be evaluated in a subsequent cohort were very unlikely to reach the 1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IU/mL HBsAg reduction level that we had previously defined as necessary to advance the program. As</w:t>
      </w:r>
    </w:p>
    <w:p>
      <w:pPr>
        <w:spacing w:after="0" w:line="1" w:lineRule="exact"/>
        <w:rPr>
          <w:sz w:val="20"/>
          <w:szCs w:val="20"/>
          <w:color w:val="auto"/>
        </w:rPr>
      </w:pPr>
    </w:p>
    <w:p>
      <w:pPr>
        <w:ind w:right="60"/>
        <w:spacing w:after="0" w:line="208" w:lineRule="exact"/>
        <w:rPr>
          <w:sz w:val="20"/>
          <w:szCs w:val="20"/>
          <w:color w:val="auto"/>
        </w:rPr>
      </w:pPr>
      <w:r>
        <w:rPr>
          <w:rFonts w:ascii="Arial" w:cs="Arial" w:eastAsia="Arial" w:hAnsi="Arial"/>
          <w:sz w:val="16"/>
          <w:szCs w:val="16"/>
          <w:color w:val="auto"/>
        </w:rPr>
        <w:t>another example, in March 2022, we discontinued further development of our ASO drug candidate for CHB, ALG</w:t>
      </w:r>
      <w:r>
        <w:rPr>
          <w:rFonts w:ascii="MS PGothic" w:cs="MS PGothic" w:eastAsia="MS PGothic" w:hAnsi="MS PGothic"/>
          <w:sz w:val="16"/>
          <w:szCs w:val="16"/>
          <w:color w:val="auto"/>
        </w:rPr>
        <w:t>‑</w:t>
      </w:r>
      <w:r>
        <w:rPr>
          <w:rFonts w:ascii="Arial" w:cs="Arial" w:eastAsia="Arial" w:hAnsi="Arial"/>
          <w:sz w:val="16"/>
          <w:szCs w:val="16"/>
          <w:color w:val="auto"/>
        </w:rPr>
        <w:t>020572, due to an unanticipated serious adverse event involving significant increase in ALT in one CHB subject and several other subjects experiencing ALT flares in the same study.</w:t>
      </w:r>
    </w:p>
    <w:p>
      <w:pPr>
        <w:spacing w:after="0" w:line="189"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74" w:lineRule="exact"/>
        <w:rPr>
          <w:sz w:val="20"/>
          <w:szCs w:val="20"/>
          <w:color w:val="auto"/>
        </w:rPr>
      </w:pPr>
    </w:p>
    <w:p>
      <w:pPr>
        <w:ind w:left="1020" w:right="6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(CROs);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103" w:lineRule="exact"/>
        <w:rPr>
          <w:rFonts w:ascii="Arial" w:cs="Arial" w:eastAsia="Arial" w:hAnsi="Arial"/>
          <w:sz w:val="18"/>
          <w:szCs w:val="18"/>
          <w:color w:val="auto"/>
        </w:rPr>
      </w:pPr>
    </w:p>
    <w:p>
      <w:pPr>
        <w:ind w:left="1020" w:right="120" w:hanging="503"/>
        <w:spacing w:after="0" w:line="324"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16" w:lineRule="exact"/>
        <w:rPr>
          <w:rFonts w:ascii="Arial" w:cs="Arial" w:eastAsia="Arial" w:hAnsi="Arial"/>
          <w:sz w:val="16"/>
          <w:szCs w:val="16"/>
          <w:color w:val="auto"/>
        </w:rPr>
      </w:pPr>
    </w:p>
    <w:p>
      <w:pPr>
        <w:ind w:left="1020" w:right="8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7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supply or quality of materials for drug candidates we develop or other materials necessary to conduct clinical trials may be insufficient or inadequate; and</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experience disruptions by man-made or natural disasters or public health pandemics or epidemics or other business interruptions, including the current COVID-19 pandemic and future outbreaks of the disease.</w:t>
      </w:r>
    </w:p>
    <w:p>
      <w:pPr>
        <w:spacing w:after="0" w:line="17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180"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Further, we are currently conducting clinical trials of in many countries (e.g., New Zealand, Hong Kong, the United Kingdom). We may also in the future conduct clinical trials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159" w:lineRule="exact"/>
        <w:rPr>
          <w:sz w:val="20"/>
          <w:szCs w:val="20"/>
          <w:color w:val="auto"/>
        </w:rPr>
      </w:pPr>
    </w:p>
    <w:p>
      <w:pPr>
        <w:ind w:right="520" w:firstLine="509"/>
        <w:spacing w:after="0" w:line="248" w:lineRule="auto"/>
        <w:rPr>
          <w:sz w:val="20"/>
          <w:szCs w:val="20"/>
          <w:color w:val="auto"/>
        </w:rPr>
      </w:pPr>
      <w:r>
        <w:rPr>
          <w:rFonts w:ascii="Arial" w:cs="Arial" w:eastAsia="Arial" w:hAnsi="Arial"/>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8" w:name="page39"/>
    <w:bookmarkEnd w:id="38"/>
    <w:p>
      <w:pPr>
        <w:spacing w:after="0" w:line="248" w:lineRule="auto"/>
        <w:rPr>
          <w:sz w:val="20"/>
          <w:szCs w:val="20"/>
          <w:color w:val="auto"/>
        </w:rPr>
      </w:pPr>
      <w:r>
        <w:rPr>
          <w:rFonts w:ascii="Arial" w:cs="Arial" w:eastAsia="Arial" w:hAnsi="Arial"/>
          <w:sz w:val="18"/>
          <w:szCs w:val="18"/>
          <w:color w:val="auto"/>
        </w:rPr>
        <w:t>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182" w:lineRule="exact"/>
        <w:rPr>
          <w:sz w:val="20"/>
          <w:szCs w:val="20"/>
          <w:color w:val="auto"/>
        </w:rPr>
      </w:pPr>
    </w:p>
    <w:p>
      <w:pPr>
        <w:ind w:right="20" w:firstLine="509"/>
        <w:spacing w:after="0" w:line="207" w:lineRule="exact"/>
        <w:rPr>
          <w:sz w:val="20"/>
          <w:szCs w:val="20"/>
          <w:color w:val="auto"/>
        </w:rPr>
      </w:pPr>
      <w:r>
        <w:rPr>
          <w:rFonts w:ascii="Arial" w:cs="Arial" w:eastAsia="Arial" w:hAnsi="Arial"/>
          <w:sz w:val="16"/>
          <w:szCs w:val="16"/>
          <w:color w:val="auto"/>
        </w:rPr>
        <w:t>Specifically, the clinical trial sites for our current drug trials, including for ALG-000184 and ALG</w:t>
      </w:r>
      <w:r>
        <w:rPr>
          <w:rFonts w:ascii="MS PGothic" w:cs="MS PGothic" w:eastAsia="MS PGothic" w:hAnsi="MS PGothic"/>
          <w:sz w:val="16"/>
          <w:szCs w:val="16"/>
          <w:color w:val="auto"/>
        </w:rPr>
        <w:t>‑</w:t>
      </w:r>
      <w:r>
        <w:rPr>
          <w:rFonts w:ascii="Arial" w:cs="Arial" w:eastAsia="Arial" w:hAnsi="Arial"/>
          <w:sz w:val="16"/>
          <w:szCs w:val="16"/>
          <w:color w:val="auto"/>
        </w:rPr>
        <w:t>055009 and future planned trials may be affected by the COVID-19 outbreak due to prioritization of hospital resources toward COVID-19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w:t>
      </w:r>
    </w:p>
    <w:p>
      <w:pPr>
        <w:spacing w:after="0" w:line="189"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159" w:lineRule="exact"/>
        <w:rPr>
          <w:sz w:val="20"/>
          <w:szCs w:val="20"/>
          <w:color w:val="auto"/>
        </w:rPr>
      </w:pPr>
    </w:p>
    <w:p>
      <w:pPr>
        <w:ind w:right="420" w:firstLine="509"/>
        <w:spacing w:after="0" w:line="248"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290"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b w:val="1"/>
          <w:bCs w:val="1"/>
          <w:i w:val="1"/>
          <w:iCs w:val="1"/>
          <w:color w:val="auto"/>
        </w:rPr>
        <w:t>Our pursuit of potential treatments for NASH is at an early stage and we may be unable to produce a therapy that successfully treats NASH. Even if successful, we may be unable to obtain regulatory approval for and successfully commercialize our drug candidates.</w:t>
      </w:r>
    </w:p>
    <w:p>
      <w:pPr>
        <w:spacing w:after="0" w:line="39"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We have invested, and will continue to invest, a significant portion of our time and financial resources in the pursuit of a treatment for NASH, including ALG-055009, our THR-b agonist which is currently in a Phase 1 trial. If we cannot successfully develop, obtain regulatory approval for and commercialize our drug candidates for the treatment of NASH, our business may be harmed. The mechanism of action of our NASH drug candidates is complex, and we do not know the degree to which it will translate into a therapeutic benefit, if any, in NASH or any other indication, and we do not know the degree to which the complex mechanism of action may contribute to long-term safety issues or adverse events when our drug candidates are taken for prolonged periods, as is inherent in the treatment of NASH.</w:t>
      </w:r>
    </w:p>
    <w:p>
      <w:pPr>
        <w:spacing w:after="0" w:line="18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NASH or any other applicable indication. Also, if we are able to obtain accelerated approval of our drug candidates based on a liver biopsy endpoint, we may be required to conduct a post-approval clinical outcomes trial to confirm the clinical benefit of the drug candidate; if any such post-approval trial is not successful, we would not be able to continue marketing the product.</w:t>
      </w:r>
    </w:p>
    <w:p>
      <w:pPr>
        <w:spacing w:after="0" w:line="189" w:lineRule="exact"/>
        <w:rPr>
          <w:sz w:val="20"/>
          <w:szCs w:val="20"/>
          <w:color w:val="auto"/>
        </w:rPr>
      </w:pPr>
    </w:p>
    <w:p>
      <w:pPr>
        <w:jc w:val="both"/>
        <w:ind w:right="100" w:firstLine="509"/>
        <w:spacing w:after="0" w:line="294" w:lineRule="auto"/>
        <w:rPr>
          <w:sz w:val="20"/>
          <w:szCs w:val="20"/>
          <w:color w:val="auto"/>
        </w:rPr>
      </w:pPr>
      <w:r>
        <w:rPr>
          <w:rFonts w:ascii="Arial" w:cs="Arial" w:eastAsia="Arial" w:hAnsi="Arial"/>
          <w:sz w:val="16"/>
          <w:szCs w:val="16"/>
          <w:color w:val="auto"/>
        </w:rPr>
        <w:t>If we are successful and any of our drug candidates are approved for the treatment of NASH, our drug candidates will likely compete with products that may be approved for the treatment of NASH prior to our drug candidates and/or that have greater efficacy than our drug candidates, either alone or in combination. Behavioral modifications, such as diet and exercise, can also decrease or eliminate the demand for our potential NASH treatments.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potential therapies for COVID-19 is at an early stage.</w:t>
      </w:r>
    </w:p>
    <w:p>
      <w:pPr>
        <w:spacing w:after="0" w:line="104"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In response to the outbreak of COVID-19, the disease caused by the virus SARS-CoV-2, we are pursuing various potential therapies to address the disease, including our drug candidate ALG-097558, an oral protease inhibitor which we have selected as our drug candidate to move forward into development. Our identification and development of these potential therapies is at an early stage, and we may be unable to produce in a timely manner a therapy that successfully treats the virus or that has broad clinical applicability, if at all.</w:t>
      </w:r>
    </w:p>
    <w:p>
      <w:pPr>
        <w:spacing w:after="0" w:line="18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For example, in June 2020, we entered into a Research, Licensing and Commercialization Agreement (the KU Leuven Agreement) with Katholieke Universiteit Leuven (KU Leuven) under which we are collaborating with KU Leuven’s Rega Institute for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spacing w:after="0" w:line="262" w:lineRule="auto"/>
        <w:rPr>
          <w:sz w:val="20"/>
          <w:szCs w:val="20"/>
          <w:color w:val="auto"/>
        </w:rPr>
      </w:pPr>
      <w:r>
        <w:rPr>
          <w:rFonts w:ascii="Arial" w:cs="Arial" w:eastAsia="Arial" w:hAnsi="Arial"/>
          <w:sz w:val="17"/>
          <w:szCs w:val="17"/>
          <w:color w:val="auto"/>
        </w:rPr>
        <w:t>Medical Research, as well as its Centre for Drug Design and Discovery, to research, develop, manufacture and commercialize potential protease inhibitors for the treatment of coronaviruses, including SARS-CoV-2.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w:t>
      </w:r>
    </w:p>
    <w:p>
      <w:pPr>
        <w:spacing w:after="0" w:line="172"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are also committing significant financial resources and personnel to the development of potential therapies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168"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56"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Also, Enanta Pharmaceuticals recently announced dosing of its first subject in a Phase 1 clinical trial for EDP-235 which is its lead oral protease inhibitor specifically designed for the treatment of COVID-19, and that EDP-235 received FDA Fast Track Designation. Additionally, Pardes Biosciences has completed its first-in-human Phase 1 clinical study for its protease inhibitor, PBI-0451, where results showed potential for an unboosted oral regimen against COVID-19, and has indicated that dose selection for its planned global Phase 2/3 study is underway. Furthermore, Novartis is working on a once a day, pan-coronavirus, main protease inhibitor pill and plans to start human testing in 2022; Shionogi has filed for manufacture and sales approval in Japan for its oral therapeutic drug for COVID-19, S-217622, a 3CL protease inhibitor for which Shiongoi has reported its Phase 2b results from its Phase 2/3 clinical trial and for which the Phase 3 part of the Phase 2/3 clinical trial is in progress; and Ascletis Pharma Inc. recently announced that is oral small molecule drug candidate ASC11, a 3CL protease inhibitor, demonstrated potential to be effective treatment for COVID-19 and expects to file an IND in the second half of 2022 and complete a Phase 1 clinical trial in healthy subjects by end of 2022. Faced with such competitor efforts, the value and/or market potential of our COVID-19 protease inhibitor program which is further behind in terms of the development process may be adversely impacted. Further, other therapies that are more affordable than our potential therapies may be used to treat COVID-19, including existing generic drugs, which could also hurt the funding of and demand for our potential therapies. In addition to BioNTech SE (together with Pfizer Inc.), Moderna, Inc., Janssen Pharmaceutical Companies of Johnson &amp; Johnson, and Novavax, Inc., there are efforts by several other public and private entities to develop a therapy or vaccine for COVID-19, including Alexion Pharmaceuticals Inc., Atea Pharmaceuticals, Inc. (together with Roche), Incyte Corporation, Sanofi S.A., Regeneron Pharmaceuticals, Inc., Amgen Inc. (together with Adaptive Biotechnologies Corporation), AbCellera Biologics, Inc. (together with Eli Lilly and Company), Vir Biotechnology, Inc. (together with Alnylam Pharmaceuticals, GSK, Biogen Inc. and WuXi Biologics Ltd.), Altimmune, Inc., AstraZeneca PLC (together with Oxford University), GlaxoSmithKline (GSK) (together with Sanofi S.A.), Heat Biologics, Inc., Inovio Pharmaceuticals, Inc., Regeneron Pharmaceuticals Inc., Synairgen plc, Takeda Pharmaceutical Company Limited, Vaxart, Inc., and Veru Inc., many of which are further along in the development process than we are.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ind w:right="140"/>
        <w:spacing w:after="0" w:line="261" w:lineRule="auto"/>
        <w:rPr>
          <w:sz w:val="20"/>
          <w:szCs w:val="20"/>
          <w:color w:val="auto"/>
        </w:rPr>
      </w:pPr>
      <w:r>
        <w:rPr>
          <w:rFonts w:ascii="Arial" w:cs="Arial" w:eastAsia="Arial" w:hAnsi="Arial"/>
          <w:sz w:val="18"/>
          <w:szCs w:val="18"/>
          <w:b w:val="1"/>
          <w:bCs w:val="1"/>
          <w:i w:val="1"/>
          <w:iCs w:val="1"/>
          <w:color w:val="auto"/>
        </w:rPr>
        <w:t>The regulatory pathways for our drug candidates targeting SARS-CoV-2, the virus that causes COVID-19, are continually evolving, and may result in unexpected or unforeseen challenges.</w:t>
      </w:r>
    </w:p>
    <w:p>
      <w:pPr>
        <w:spacing w:after="0" w:line="63"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Our drug candidates targeting SARS-CoV-2, the virus that causes COVID-19, are in the early discovery stages. The speed at which companies and institutions are acting to create and test many therapeutics and vaccines for COVID-19 is unusually rapid and evolving or changing plans or priorities within the FDA, including changes based on new knowledge of COVID-19 and how the disease affects the human body, may significantly affect the regulatory timelines for our COVID-19 drug candidates. Results from our continued development and planned clinical trials may raise new questions and require us to redesign proposed nonclinical studies and clinical trials, including revising proposed endpoints or adding new clinical trial sites or cohorts of subjects, with minimal lead time.</w:t>
      </w:r>
    </w:p>
    <w:p>
      <w:pPr>
        <w:spacing w:after="0" w:line="189"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instance, the FDA had granted an EUA for each of the COVID-19 vaccines developed by Pfizer/BioNTech, Moderna, Janssen Pharmaceutical Companies of Johnson &amp; Johnson and Novavax.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Depending on the outcomes of our planned nonclinical and initial clinical testing for our proposed COVID-19 therapies, we may seek an EUA for one or more of our drug candidates for use in the ongoing public health emergency, which would permit us to commercialize a drug candidate prior to FDA approval of an NDA. However, commercialization under an EUA is permitted only during the underlying public health emergency (as declared by the Secretary of the Department of Health and Human Services), meaning that once the emergency declaration is terminated, we would be required to obtain NDA approval to continue marketing the product. Furthermore, the FDA may revoke an EUA based on a determination that the product no longer satisfies the criteria for issuance of an EUA—for example, if there is no longer evidence of effectiveness of the product or there are other adequate, approved alternatives. Accordingly, we cannot predict how long, if at all, an EUA for any of our drug candidates may remain in place. Any termination or revocation of an EUA (if any) for one of our drug candidates could adversely impact our business in a variety of ways, including if one of our COVID-19 drug candidates is not yet approved by the FDA and if we and our manufacturing partners have invested in the supply chain to provide one of our COVID-19 drug candidates under an EUA.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nonclinical studies and early-stage clinical trials may not be predictive of future results.</w:t>
      </w:r>
    </w:p>
    <w:p>
      <w:pPr>
        <w:spacing w:after="0" w:line="90"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104" w:lineRule="exact"/>
        <w:rPr>
          <w:sz w:val="20"/>
          <w:szCs w:val="20"/>
          <w:color w:val="auto"/>
        </w:rPr>
      </w:pPr>
    </w:p>
    <w:p>
      <w:pPr>
        <w:ind w:firstLine="509"/>
        <w:spacing w:after="0" w:line="205" w:lineRule="exact"/>
        <w:rPr>
          <w:sz w:val="20"/>
          <w:szCs w:val="20"/>
          <w:color w:val="auto"/>
        </w:rPr>
      </w:pPr>
      <w:r>
        <w:rPr>
          <w:rFonts w:ascii="Arial" w:cs="Arial" w:eastAsia="Arial" w:hAnsi="Arial"/>
          <w:sz w:val="17"/>
          <w:szCs w:val="17"/>
          <w:color w:val="auto"/>
        </w:rPr>
        <w:t>From time to time, we may disclose interim data from our clinical trials, including the preliminary data with respect to our CAM candidate, ALG-000184 and our THR-b agonist candidate ALG</w:t>
      </w:r>
      <w:r>
        <w:rPr>
          <w:rFonts w:ascii="MS PGothic" w:cs="MS PGothic" w:eastAsia="MS PGothic" w:hAnsi="MS PGothic"/>
          <w:sz w:val="17"/>
          <w:szCs w:val="17"/>
          <w:color w:val="auto"/>
        </w:rPr>
        <w:t>‑</w:t>
      </w:r>
      <w:r>
        <w:rPr>
          <w:rFonts w:ascii="Arial" w:cs="Arial" w:eastAsia="Arial" w:hAnsi="Arial"/>
          <w:sz w:val="17"/>
          <w:szCs w:val="17"/>
          <w:color w:val="auto"/>
        </w:rPr>
        <w:t>055009.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95"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1" w:name="page42"/>
    <w:bookmarkEnd w:id="41"/>
    <w:p>
      <w:pPr>
        <w:spacing w:after="0" w:line="257" w:lineRule="auto"/>
        <w:rPr>
          <w:sz w:val="20"/>
          <w:szCs w:val="20"/>
          <w:color w:val="auto"/>
        </w:rPr>
      </w:pPr>
      <w:r>
        <w:rPr>
          <w:rFonts w:ascii="Arial" w:cs="Arial" w:eastAsia="Arial" w:hAnsi="Arial"/>
          <w:sz w:val="17"/>
          <w:szCs w:val="17"/>
          <w:color w:val="auto"/>
        </w:rPr>
        <w:t>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3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74"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62"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in the trial through the completion of evaluation; and</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 by man-made or natural disasters, or public health pandemics or epidemics or other business interruptions, including the current COVID-19 pandemic and future outbreaks of the virus.</w:t>
      </w:r>
    </w:p>
    <w:p>
      <w:pPr>
        <w:spacing w:after="0" w:line="17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191"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drug candidate manufacturing or formulation may result in additional costs or delay.</w:t>
      </w:r>
    </w:p>
    <w:p>
      <w:pPr>
        <w:spacing w:after="0" w:line="104"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159"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2" w:name="page43"/>
    <w:bookmarkEnd w:id="42"/>
    <w:p>
      <w:pPr>
        <w:ind w:right="500"/>
        <w:spacing w:after="0" w:line="248" w:lineRule="auto"/>
        <w:rPr>
          <w:sz w:val="20"/>
          <w:szCs w:val="20"/>
          <w:color w:val="auto"/>
        </w:rPr>
      </w:pPr>
      <w:r>
        <w:rPr>
          <w:rFonts w:ascii="Arial" w:cs="Arial" w:eastAsia="Arial" w:hAnsi="Arial"/>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7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p>
    <w:p>
      <w:pPr>
        <w:spacing w:after="0" w:line="1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189"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189"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18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If any of our drug candidates receives marketing approval and we or others later identify undesirable side effects caused by such products, a number of potentially significant negative consequences could occur, including:</w:t>
      </w:r>
    </w:p>
    <w:p>
      <w:pPr>
        <w:spacing w:after="0" w:line="63"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(REMS) or create a Medication Guide outlining the risks of such side effects for distribution to patients;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right="260" w:firstLine="509"/>
        <w:spacing w:after="0" w:line="262" w:lineRule="auto"/>
        <w:rPr>
          <w:sz w:val="20"/>
          <w:szCs w:val="20"/>
          <w:color w:val="auto"/>
        </w:rPr>
      </w:pPr>
      <w:r>
        <w:rPr>
          <w:rFonts w:ascii="Arial" w:cs="Arial" w:eastAsia="Arial" w:hAnsi="Arial"/>
          <w:sz w:val="17"/>
          <w:szCs w:val="17"/>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43" w:name="page44"/>
    <w:bookmarkEnd w:id="43"/>
    <w:p>
      <w:pPr>
        <w:ind w:right="20"/>
        <w:spacing w:after="0" w:line="248" w:lineRule="auto"/>
        <w:rPr>
          <w:sz w:val="20"/>
          <w:szCs w:val="20"/>
          <w:color w:val="auto"/>
        </w:rPr>
      </w:pPr>
      <w:r>
        <w:rPr>
          <w:rFonts w:ascii="Arial" w:cs="Arial" w:eastAsia="Arial" w:hAnsi="Arial"/>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7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83"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168"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25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63"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The degree of market acceptance of any drug candidate, if approved for commercial sale, will depend on a number of factors, including:</w:t>
      </w:r>
    </w:p>
    <w:p>
      <w:pPr>
        <w:spacing w:after="0" w:line="66"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44" w:name="page45"/>
    <w:bookmarkEnd w:id="44"/>
    <w:p>
      <w:pPr>
        <w:ind w:right="40"/>
        <w:spacing w:after="0" w:line="261" w:lineRule="auto"/>
        <w:rPr>
          <w:sz w:val="20"/>
          <w:szCs w:val="20"/>
          <w:color w:val="auto"/>
        </w:rPr>
      </w:pPr>
      <w:r>
        <w:rPr>
          <w:rFonts w:ascii="Arial" w:cs="Arial" w:eastAsia="Arial" w:hAnsi="Arial"/>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6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189"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255" w:lineRule="exact"/>
        <w:rPr>
          <w:sz w:val="20"/>
          <w:szCs w:val="20"/>
          <w:color w:val="auto"/>
        </w:rPr>
      </w:pPr>
    </w:p>
    <w:p>
      <w:pPr>
        <w:ind w:right="700"/>
        <w:spacing w:after="0" w:line="291" w:lineRule="auto"/>
        <w:rPr>
          <w:sz w:val="20"/>
          <w:szCs w:val="20"/>
          <w:color w:val="auto"/>
        </w:rPr>
      </w:pPr>
      <w:r>
        <w:rPr>
          <w:rFonts w:ascii="Arial" w:cs="Arial" w:eastAsia="Arial" w:hAnsi="Arial"/>
          <w:sz w:val="17"/>
          <w:szCs w:val="17"/>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3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189"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288"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7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78"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03"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we filed or suspension or revocation of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45" w:name="page46"/>
    <w:bookmarkEnd w:id="45"/>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w:t>
      </w:r>
    </w:p>
    <w:p>
      <w:pPr>
        <w:spacing w:after="0" w:line="29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(the EU)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18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Further, clinical trials conducted in one country may not be accepted by regulatory authorities in other countries. For example, we are currently conducting clinical trials in multiple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28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Risks associated with our international operations, including seeking and obtaining approval to commercialize our drug candidates in foreign jurisdictions, could harm our business.</w:t>
      </w:r>
    </w:p>
    <w:p>
      <w:pPr>
        <w:spacing w:after="0" w:line="63"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w:t>
      </w:r>
    </w:p>
    <w:p>
      <w:pPr>
        <w:spacing w:after="0" w:line="74" w:lineRule="exact"/>
        <w:rPr>
          <w:sz w:val="20"/>
          <w:szCs w:val="20"/>
          <w:color w:val="auto"/>
        </w:rPr>
      </w:pPr>
    </w:p>
    <w:p>
      <w:pPr>
        <w:ind w:left="1020" w:right="66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 candidates in foreign countries, including challenging processes for marketing biopharmaceutical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protection for and enforcement of intellectual property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heightened or different data privacy and information security laws, regulations and policies;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economic weakness, including inflation and increased interest rates or political instability in particular foreign economies and markets;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disruptions resulting from the impact of public health pandemics or epidemics (including, for example, the ongoing COVID-19 pandemic).</w:t>
      </w:r>
    </w:p>
    <w:p>
      <w:pPr>
        <w:spacing w:after="0" w:line="235"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In addition, there are complex regulatory, tax, labor and other legal requirements imposed by many of the individual countries in which we may operate, with which we will need to comply.</w:t>
      </w:r>
    </w:p>
    <w:p>
      <w:pPr>
        <w:spacing w:after="0" w:line="279"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7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8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Relatedly,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mission-critical inspections to resumption of all regulatory activities.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events such as the COVID-19 pandemic. 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29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6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COVID-19, HBV or other viral diseases as a result of their genetic makeup. In addition, the route of administration for our potential therapies could be inconvenient and/or not commercially viable, which could also limit the potential market for our therapies. If the market opportunities for our drug candidates are smaller than we estimate, it could have an adverse effect on our business, financial condition, results of operations and prospects.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7" w:name="page48"/>
    <w:bookmarkEnd w:id="47"/>
    <w:p>
      <w:pPr>
        <w:ind w:right="20" w:firstLine="515"/>
        <w:spacing w:after="0" w:line="238" w:lineRule="auto"/>
        <w:rPr>
          <w:sz w:val="20"/>
          <w:szCs w:val="20"/>
          <w:color w:val="auto"/>
        </w:rPr>
      </w:pPr>
      <w:r>
        <w:rPr>
          <w:rFonts w:ascii="Arial" w:cs="Arial" w:eastAsia="Arial" w:hAnsi="Arial"/>
          <w:sz w:val="18"/>
          <w:szCs w:val="18"/>
          <w:color w:val="auto"/>
        </w:rPr>
        <w:t>For example, we believe NASH to be one of the most prevalent chronic liver diseases worldwide, however, our projections of the number of people who have NASH, as well as the subset of people with the disease who have the potential to benefit from treatment with our drug candidates, are based on our beliefs and estimates. The effort to identify patients with NASH is in early stages, and we cannot accurately predict the number of patients for whom treatment might be possible. NASH is often undiagnosed and may be left undiagnosed for a long time, partly because a definitive diagnosis of NASH is currently based on a histological assessment of a liver biopsy, which impairs the ability to easily identify patients. If improved diagnostic techniques for identifying NASH patients who will benefit from treatment are not developed, our market opportunity may be smaller than we currently anticipate. Further, if government authorities and third-party payors choose to limit coverage and reimbursement of our NASH drug candidate, such as limiting the number of patients’ treatment that would be covered and reimbursable, this could result in a smaller market opportunity for our NASH drug candidate than we anticipate.</w:t>
      </w:r>
    </w:p>
    <w:p>
      <w:pPr>
        <w:spacing w:after="0" w:line="178" w:lineRule="exact"/>
        <w:rPr>
          <w:sz w:val="20"/>
          <w:szCs w:val="20"/>
          <w:color w:val="auto"/>
        </w:rPr>
      </w:pPr>
    </w:p>
    <w:p>
      <w:pPr>
        <w:ind w:right="180" w:firstLine="515"/>
        <w:spacing w:after="0" w:line="219" w:lineRule="auto"/>
        <w:rPr>
          <w:sz w:val="20"/>
          <w:szCs w:val="20"/>
          <w:color w:val="auto"/>
        </w:rPr>
      </w:pPr>
      <w:r>
        <w:rPr>
          <w:rFonts w:ascii="Arial" w:cs="Arial" w:eastAsia="Arial" w:hAnsi="Arial"/>
          <w:sz w:val="18"/>
          <w:szCs w:val="18"/>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p>
    <w:p>
      <w:pPr>
        <w:spacing w:after="0" w:line="28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63"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NASH,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180"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29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7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Antios Therapeutics, Inc., GSK, Janssen, Transgene SA, Dynavax Technologies, Inc., Merck and Replicor, Inc. There are also companies developing or marketing treatments or vaccines for COVID-19, including Soliris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spacing w:after="0" w:line="252" w:lineRule="auto"/>
        <w:rPr>
          <w:sz w:val="20"/>
          <w:szCs w:val="20"/>
          <w:color w:val="auto"/>
        </w:rPr>
      </w:pPr>
      <w:r>
        <w:rPr>
          <w:rFonts w:ascii="Arial" w:cs="Arial" w:eastAsia="Arial" w:hAnsi="Arial"/>
          <w:sz w:val="17"/>
          <w:szCs w:val="17"/>
          <w:color w:val="auto"/>
        </w:rPr>
        <w:t>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Vaxart, Inc., Enanta Pharmaceuticals, Novartis and Shionogi &amp; Co., Ltd. For example, BioNTech SE (together with Pfizer Inc.), Janssen Pharmaceutical Companies of Johnson &amp; Johnson, Moderna Inc. and Novavax have developed COVID-19 vaccines that have received authorization for emergency use and/or regulatory approval are being widely administered.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The availability of such COVID-19 vaccines and each of Pfizer’s and Merck’s oral COVID-19 drug may reduce or eliminate the need for our potential COVID therapies to treat the disease and therefore negatively impact the commercial opportunity therefor.</w:t>
      </w:r>
    </w:p>
    <w:p>
      <w:pPr>
        <w:spacing w:after="0" w:line="75" w:lineRule="exact"/>
        <w:rPr>
          <w:sz w:val="20"/>
          <w:szCs w:val="20"/>
          <w:color w:val="auto"/>
        </w:rPr>
      </w:pPr>
    </w:p>
    <w:p>
      <w:pPr>
        <w:ind w:right="160" w:firstLine="509"/>
        <w:spacing w:after="0" w:line="276" w:lineRule="auto"/>
        <w:rPr>
          <w:sz w:val="20"/>
          <w:szCs w:val="20"/>
          <w:color w:val="auto"/>
        </w:rPr>
      </w:pPr>
      <w:r>
        <w:rPr>
          <w:rFonts w:ascii="Arial" w:cs="Arial" w:eastAsia="Arial" w:hAnsi="Arial"/>
          <w:sz w:val="16"/>
          <w:szCs w:val="16"/>
          <w:color w:val="auto"/>
        </w:rPr>
        <w:t>Furthermore, there are companies developing or marketing treatments for NASH,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Blade Therapeutics, Inc., Cirius Therapeutics,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w:t>
      </w:r>
    </w:p>
    <w:p>
      <w:pPr>
        <w:spacing w:after="0" w:line="162"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191"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71"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182" w:lineRule="exact"/>
        <w:rPr>
          <w:sz w:val="20"/>
          <w:szCs w:val="20"/>
          <w:color w:val="auto"/>
        </w:rPr>
      </w:pPr>
    </w:p>
    <w:p>
      <w:pPr>
        <w:jc w:val="both"/>
        <w:ind w:right="320" w:firstLine="509"/>
        <w:spacing w:after="0" w:line="270" w:lineRule="auto"/>
        <w:rPr>
          <w:sz w:val="20"/>
          <w:szCs w:val="20"/>
          <w:color w:val="auto"/>
        </w:rPr>
      </w:pPr>
      <w:r>
        <w:rPr>
          <w:rFonts w:ascii="Arial" w:cs="Arial" w:eastAsia="Arial" w:hAnsi="Arial"/>
          <w:sz w:val="17"/>
          <w:szCs w:val="17"/>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27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ind w:right="400"/>
        <w:spacing w:after="0" w:line="261" w:lineRule="auto"/>
        <w:rPr>
          <w:sz w:val="20"/>
          <w:szCs w:val="20"/>
          <w:color w:val="auto"/>
        </w:rPr>
      </w:pPr>
      <w:r>
        <w:rPr>
          <w:rFonts w:ascii="Arial" w:cs="Arial" w:eastAsia="Arial" w:hAnsi="Arial"/>
          <w:sz w:val="18"/>
          <w:szCs w:val="18"/>
          <w:color w:val="auto"/>
        </w:rPr>
        <w:t>owner and NDA holder and if, within 45 days of receiving notice, either the patent owner or NDA holder sues for patent infringement, approval of the ANDA or 505(b)(2) NDA is stayed for up to 30 months.</w:t>
      </w:r>
    </w:p>
    <w:p>
      <w:pPr>
        <w:spacing w:after="0" w:line="17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174"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28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63"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180"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17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8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ind w:right="360"/>
        <w:spacing w:after="0" w:line="261" w:lineRule="auto"/>
        <w:rPr>
          <w:sz w:val="20"/>
          <w:szCs w:val="20"/>
          <w:color w:val="auto"/>
        </w:rPr>
      </w:pPr>
      <w:r>
        <w:rPr>
          <w:rFonts w:ascii="Arial" w:cs="Arial" w:eastAsia="Arial" w:hAnsi="Arial"/>
          <w:sz w:val="18"/>
          <w:szCs w:val="18"/>
          <w:color w:val="auto"/>
        </w:rPr>
        <w:t>that we develop could have a material adverse effect on our operating results, our ability to raise capital needed to commercialize drugs and our overall financial condition.</w:t>
      </w:r>
    </w:p>
    <w:p>
      <w:pPr>
        <w:spacing w:after="0" w:line="27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6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188" w:lineRule="exact"/>
        <w:rPr>
          <w:sz w:val="20"/>
          <w:szCs w:val="20"/>
          <w:color w:val="auto"/>
        </w:rPr>
      </w:pPr>
    </w:p>
    <w:p>
      <w:pPr>
        <w:ind w:right="20" w:firstLine="509"/>
        <w:spacing w:after="0" w:line="204" w:lineRule="exact"/>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risk/benefit profiles through Phase 1 clinical trials of our drug candidates ALG-000184 and ALG</w:t>
      </w:r>
      <w:r>
        <w:rPr>
          <w:rFonts w:ascii="MS PGothic" w:cs="MS PGothic" w:eastAsia="MS PGothic" w:hAnsi="MS PGothic"/>
          <w:sz w:val="17"/>
          <w:szCs w:val="17"/>
          <w:color w:val="auto"/>
        </w:rPr>
        <w:t>‑</w:t>
      </w:r>
      <w:r>
        <w:rPr>
          <w:rFonts w:ascii="Arial" w:cs="Arial" w:eastAsia="Arial" w:hAnsi="Arial"/>
          <w:sz w:val="17"/>
          <w:szCs w:val="17"/>
          <w:color w:val="auto"/>
        </w:rPr>
        <w:t>055009.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199"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290"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4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89"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ind w:right="80" w:firstLine="509"/>
        <w:spacing w:after="0" w:line="259" w:lineRule="auto"/>
        <w:rPr>
          <w:sz w:val="20"/>
          <w:szCs w:val="20"/>
          <w:color w:val="auto"/>
        </w:rPr>
      </w:pPr>
      <w:r>
        <w:rPr>
          <w:rFonts w:ascii="Arial" w:cs="Arial" w:eastAsia="Arial" w:hAnsi="Arial"/>
          <w:sz w:val="17"/>
          <w:szCs w:val="17"/>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174"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NASH.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7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w:t>
      </w:r>
    </w:p>
    <w:p>
      <w:pPr>
        <w:spacing w:after="0" w:line="63" w:lineRule="exact"/>
        <w:rPr>
          <w:sz w:val="20"/>
          <w:szCs w:val="20"/>
          <w:color w:val="auto"/>
        </w:rPr>
      </w:pPr>
    </w:p>
    <w:p>
      <w:pPr>
        <w:ind w:right="180" w:firstLine="509"/>
        <w:spacing w:after="0" w:line="255" w:lineRule="auto"/>
        <w:rPr>
          <w:sz w:val="20"/>
          <w:szCs w:val="20"/>
          <w:color w:val="auto"/>
        </w:rPr>
      </w:pPr>
      <w:r>
        <w:rPr>
          <w:rFonts w:ascii="Arial" w:cs="Arial" w:eastAsia="Arial" w:hAnsi="Arial"/>
          <w:sz w:val="17"/>
          <w:szCs w:val="17"/>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80"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68"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spacing w:after="0" w:line="189"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ind w:right="40"/>
        <w:spacing w:after="0" w:line="261" w:lineRule="auto"/>
        <w:rPr>
          <w:sz w:val="20"/>
          <w:szCs w:val="20"/>
          <w:color w:val="auto"/>
        </w:rPr>
      </w:pPr>
      <w:r>
        <w:rPr>
          <w:rFonts w:ascii="Arial" w:cs="Arial" w:eastAsia="Arial" w:hAnsi="Arial"/>
          <w:sz w:val="18"/>
          <w:szCs w:val="18"/>
          <w:color w:val="auto"/>
        </w:rPr>
        <w:t>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make significant payments under our license agreements with Emory University and KU Leuven</w:t>
      </w:r>
    </w:p>
    <w:p>
      <w:pPr>
        <w:spacing w:after="0" w:line="10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We entered into a License Agreement with Emory in June 2018 (the Emory License Agreement), and a Research, Licensing and Commercialization Agreement (KU Leuven Agreement) with KU Leuven in June 2020. Under the Emory License Agreement and KU Leuven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for the year ended December 31, 2021, previously filed with the Securities and Exchange Commission. If these payments become due under the terms of either the Emory University License Agreement or KU Leuven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29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63"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approved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payments to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effects to our results of operations and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drug candidate;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2"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17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w:t>
      </w:r>
    </w:p>
    <w:p>
      <w:pPr>
        <w:spacing w:after="0" w:line="163"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will impact our business.</w:t>
      </w:r>
    </w:p>
    <w:p>
      <w:pPr>
        <w:spacing w:after="0" w:line="194"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unless additional Congressional action is taken. In addition, on January 2, 2013, the American Taxpayer Relief Act of 2012 was signed into law, which, among other things, further reduced Medicare payments to several types of providers.</w:t>
      </w:r>
    </w:p>
    <w:p>
      <w:pPr>
        <w:spacing w:after="0" w:line="15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 For example, it is possible that additional governmental action will be taken to address the COVID-19 pandemic, which could impact our business in an as-yet unknown manner.</w:t>
      </w:r>
    </w:p>
    <w:p>
      <w:pPr>
        <w:spacing w:after="0" w:line="189"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It is unclear whether the Biden administration will work to reverse these measures or pursue similar policy initiatives to control drug costs. Any reduction in reimbursement from Medicare and other government programs may result in a similar reduction in payments from private payers.</w:t>
      </w:r>
    </w:p>
    <w:p>
      <w:pPr>
        <w:spacing w:after="0" w:line="28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74"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We and our partners may be subject to federal, state and foreign data privacy and security laws and regulations. Failure by us or our third-party vendors, collaborators, contractors and consultants to comply with any of these laws and regulations could result in notification obligations or enforcement actions against us, which could result in, among other things, fines,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4" w:name="page55"/>
    <w:bookmarkEnd w:id="54"/>
    <w:p>
      <w:pPr>
        <w:ind w:right="60" w:firstLine="509"/>
        <w:spacing w:after="0" w:line="255"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Depending on the facts and circumstances, we could be subject to criminal penalties if we knowingly obtain, use, or disclose individually identifiable health information provided to us by a HIPAA-covered entity in a manner that is not authorized or permitted by HIPAA.</w:t>
      </w:r>
    </w:p>
    <w:p>
      <w:pPr>
        <w:spacing w:after="0" w:line="180"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of 2018 (CCPA) went into effect on January 1, 2020. The CCPA, among other things, creates individual privacy rights for California consumers, such as the right to access and delete their personal information, opt-out of certain sales of personal information and receive detailed information about how their personal information is used. The CCPA provides for civil penalties for violations, as well as a private right of action for data breaches that is expected to increase the frequency of data breach litigation. The CCPA may increase our compliance costs and potential liability, and many similar laws have been proposed at the federal level and in other states. Further, the California Privacy Rights Act (CPRA) recently passed in California, which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or other domestic privacy and data protection laws, any liability from failure to comply with the requirements of these laws could adversely affect our financial condition.</w:t>
      </w:r>
    </w:p>
    <w:p>
      <w:pPr>
        <w:spacing w:after="0" w:line="67"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We currently operate in countries outside of the United States, including Belgium, Australia and China, where laws may in some cases be more stringent than the requirements in the United States. For example, in Europe, the General Data Protection Regulation (GDPR) went into effect in May 2018 and imposes strict requirements for the collection, storage, use, disclosure, transfer and other processing of the personal data of individuals within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and EEA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could result in fines of up to €20 million or 4% of the total worldwide annual turnover of our preceding fiscal year, whichever is higher, and other administrative penalties.</w:t>
      </w:r>
    </w:p>
    <w:p>
      <w:pPr>
        <w:spacing w:after="0" w:line="60"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Further, from January 1, 2021, we have to comply with the GDPR and also the United Kingdom GDPR (UK GDPR), which, together, with the amended Data Protection Act 2018, retains the GDPR in UK national law, the latter regime having the ability to separately fine up to the greater of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72"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The GDPR further prohibits, without an appropriate legal basis, the transfer of personal data to countries outside of the EEA, such as the United States, which are not considered by the European Commission to provide an adequate level of data protection. Recent legal developments in Europe have created complexity and uncertainty regarding transfers of personal data from the EEA to the United States. For example,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5" w:name="page56"/>
    <w:bookmarkEnd w:id="55"/>
    <w:p>
      <w:pPr>
        <w:spacing w:after="0" w:line="238" w:lineRule="auto"/>
        <w:rPr>
          <w:sz w:val="20"/>
          <w:szCs w:val="20"/>
          <w:color w:val="auto"/>
        </w:rPr>
      </w:pPr>
      <w:r>
        <w:rPr>
          <w:rFonts w:ascii="Arial" w:cs="Arial" w:eastAsia="Arial" w:hAnsi="Arial"/>
          <w:sz w:val="18"/>
          <w:szCs w:val="18"/>
          <w:color w:val="auto"/>
        </w:rPr>
        <w:t>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86"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internal computer systems, or those used by our CROs or other contractors or consultants, may fail or suffer security breaches.</w:t>
      </w:r>
    </w:p>
    <w:p>
      <w:pPr>
        <w:spacing w:after="0" w:line="115" w:lineRule="exact"/>
        <w:rPr>
          <w:sz w:val="20"/>
          <w:szCs w:val="20"/>
          <w:color w:val="auto"/>
        </w:rPr>
      </w:pPr>
    </w:p>
    <w:p>
      <w:pPr>
        <w:ind w:right="80" w:firstLine="509"/>
        <w:spacing w:after="0" w:line="268"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contractors and consultants are vulnerable to damage from cyber-attacks, computer hacks, theft, viruses, malicious software, phishing, employee error, denial-of-service attacks, unauthorized access and other security breaches that could jeopardize the performance of our software and computer systems, and could expose us to financial and reputational harm.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development and commercialization of our future drug candidates could be delayed.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0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56" w:lineRule="exact"/>
        <w:rPr>
          <w:sz w:val="20"/>
          <w:szCs w:val="20"/>
          <w:color w:val="auto"/>
        </w:rPr>
      </w:pPr>
    </w:p>
    <w:p>
      <w:pPr>
        <w:ind w:right="220" w:firstLine="509"/>
        <w:spacing w:after="0" w:line="257" w:lineRule="auto"/>
        <w:rPr>
          <w:sz w:val="20"/>
          <w:szCs w:val="20"/>
          <w:color w:val="auto"/>
        </w:rPr>
      </w:pPr>
      <w:r>
        <w:rPr>
          <w:rFonts w:ascii="Arial" w:cs="Arial" w:eastAsia="Arial" w:hAnsi="Arial"/>
          <w:sz w:val="17"/>
          <w:szCs w:val="17"/>
          <w:color w:val="auto"/>
        </w:rPr>
        <w:t>We are currently collaborating with third parties to develop certain of our potential drug candidates. For example, we are collaborating with the Rega Institute and Centre for Drug Design and Discovery at KU Leuven with respect to potential protease inhibitors for the treatment of coronaviruses, including SARS-CoV-2, with Emory University with respect to certain aspects of our small molecule CHB program and with Merck with respect to the discovery, research and development of oligonucleotides against a NASH target.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current and future drug candidates may pose the following risks to us:</w:t>
      </w:r>
    </w:p>
    <w:p>
      <w:pPr>
        <w:spacing w:after="0" w:line="104" w:lineRule="exact"/>
        <w:rPr>
          <w:sz w:val="20"/>
          <w:szCs w:val="20"/>
          <w:color w:val="auto"/>
        </w:rPr>
      </w:pPr>
    </w:p>
    <w:p>
      <w:pPr>
        <w:jc w:val="center"/>
        <w:ind w:left="5540" w:right="1260" w:hanging="5023"/>
        <w:spacing w:after="0" w:line="512" w:lineRule="auto"/>
        <w:tabs>
          <w:tab w:leader="none" w:pos="10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6" w:name="page57"/>
    <w:bookmarkEnd w:id="56"/>
    <w:p>
      <w:pPr>
        <w:ind w:left="1020" w:right="6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62"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(if any) or drug candidates;</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62"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7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03" w:lineRule="exact"/>
        <w:rPr>
          <w:rFonts w:ascii="Arial" w:cs="Arial" w:eastAsia="Arial" w:hAnsi="Arial"/>
          <w:sz w:val="18"/>
          <w:szCs w:val="18"/>
          <w:color w:val="auto"/>
        </w:rPr>
      </w:pPr>
    </w:p>
    <w:p>
      <w:pPr>
        <w:ind w:left="1020" w:right="100" w:hanging="503"/>
        <w:spacing w:after="0" w:line="324"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16" w:lineRule="exact"/>
        <w:rPr>
          <w:rFonts w:ascii="Arial" w:cs="Arial" w:eastAsia="Arial" w:hAnsi="Arial"/>
          <w:sz w:val="16"/>
          <w:szCs w:val="16"/>
          <w:color w:val="auto"/>
        </w:rPr>
      </w:pPr>
    </w:p>
    <w:p>
      <w:pPr>
        <w:ind w:left="1020" w:right="180" w:hanging="503"/>
        <w:spacing w:after="0" w:line="291"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14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29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3"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189"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p>
    <w:p>
      <w:pPr>
        <w:spacing w:after="0" w:line="167" w:lineRule="exact"/>
        <w:rPr>
          <w:sz w:val="20"/>
          <w:szCs w:val="20"/>
          <w:color w:val="auto"/>
        </w:rPr>
      </w:pPr>
    </w:p>
    <w:p>
      <w:pPr>
        <w:ind w:right="860" w:firstLine="509"/>
        <w:spacing w:after="0" w:line="261" w:lineRule="auto"/>
        <w:rPr>
          <w:sz w:val="20"/>
          <w:szCs w:val="20"/>
          <w:color w:val="auto"/>
        </w:rPr>
      </w:pPr>
      <w:r>
        <w:rPr>
          <w:rFonts w:ascii="Arial" w:cs="Arial" w:eastAsia="Arial" w:hAnsi="Arial"/>
          <w:sz w:val="18"/>
          <w:szCs w:val="18"/>
          <w:color w:val="auto"/>
        </w:rPr>
        <w:t>We may also be restricted under future collaboration agreements from entering into additional agreements on certain terms with potential collaborators.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7" w:name="page58"/>
    <w:bookmarkEnd w:id="57"/>
    <w:p>
      <w:pPr>
        <w:ind w:right="260" w:firstLine="509"/>
        <w:spacing w:after="0" w:line="261"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17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27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3"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18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58" w:name="page59"/>
    <w:bookmarkEnd w:id="58"/>
    <w:p>
      <w:pPr>
        <w:ind w:right="180"/>
        <w:spacing w:after="0" w:line="322" w:lineRule="auto"/>
        <w:rPr>
          <w:sz w:val="20"/>
          <w:szCs w:val="20"/>
          <w:color w:val="auto"/>
        </w:rPr>
      </w:pPr>
      <w:r>
        <w:rPr>
          <w:rFonts w:ascii="Arial" w:cs="Arial" w:eastAsia="Arial" w:hAnsi="Arial"/>
          <w:sz w:val="15"/>
          <w:szCs w:val="15"/>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21" w:lineRule="exact"/>
        <w:rPr>
          <w:sz w:val="20"/>
          <w:szCs w:val="20"/>
          <w:color w:val="auto"/>
        </w:rPr>
      </w:pPr>
    </w:p>
    <w:p>
      <w:pPr>
        <w:ind w:right="120" w:firstLine="509"/>
        <w:spacing w:after="0" w:line="207" w:lineRule="exact"/>
        <w:rPr>
          <w:sz w:val="20"/>
          <w:szCs w:val="20"/>
          <w:color w:val="auto"/>
        </w:rPr>
      </w:pPr>
      <w:r>
        <w:rPr>
          <w:rFonts w:ascii="Arial" w:cs="Arial" w:eastAsia="Arial" w:hAnsi="Arial"/>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000184 and ALG</w:t>
      </w:r>
      <w:r>
        <w:rPr>
          <w:rFonts w:ascii="MS PGothic" w:cs="MS PGothic" w:eastAsia="MS PGothic" w:hAnsi="MS PGothic"/>
          <w:sz w:val="18"/>
          <w:szCs w:val="18"/>
          <w:color w:val="auto"/>
        </w:rPr>
        <w:t>‑</w:t>
      </w:r>
      <w:r>
        <w:rPr>
          <w:rFonts w:ascii="Arial" w:cs="Arial" w:eastAsia="Arial" w:hAnsi="Arial"/>
          <w:sz w:val="18"/>
          <w:szCs w:val="18"/>
          <w:color w:val="auto"/>
        </w:rPr>
        <w:t>055009,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19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68"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undergo changes in priorities;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become financially distressed; or</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9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180"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if the quality or accuracy of the nonclinical or clinical data they obtain are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9" w:name="page60"/>
    <w:bookmarkEnd w:id="59"/>
    <w:p>
      <w:pPr>
        <w:spacing w:after="0" w:line="284" w:lineRule="auto"/>
        <w:rPr>
          <w:sz w:val="20"/>
          <w:szCs w:val="20"/>
          <w:color w:val="auto"/>
        </w:rPr>
      </w:pPr>
      <w:r>
        <w:rPr>
          <w:rFonts w:ascii="Arial" w:cs="Arial" w:eastAsia="Arial" w:hAnsi="Arial"/>
          <w:sz w:val="16"/>
          <w:szCs w:val="16"/>
          <w:color w:val="auto"/>
        </w:rPr>
        <w:t>compromised due to the failure to adhere to our protocols, regulatory requirements or for other reasons, or if they are negatively impacted by the COVID-19 pandemic,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26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56"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spacing w:after="0" w:line="162"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163" w:lineRule="exact"/>
        <w:rPr>
          <w:sz w:val="20"/>
          <w:szCs w:val="20"/>
          <w:color w:val="auto"/>
        </w:rPr>
      </w:pPr>
    </w:p>
    <w:p>
      <w:pPr>
        <w:ind w:right="460" w:firstLine="509"/>
        <w:spacing w:after="0" w:line="270" w:lineRule="auto"/>
        <w:rPr>
          <w:sz w:val="20"/>
          <w:szCs w:val="20"/>
          <w:color w:val="auto"/>
        </w:rPr>
      </w:pPr>
      <w:r>
        <w:rPr>
          <w:rFonts w:ascii="Arial" w:cs="Arial" w:eastAsia="Arial" w:hAnsi="Arial"/>
          <w:sz w:val="17"/>
          <w:szCs w:val="17"/>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164" w:lineRule="exact"/>
        <w:rPr>
          <w:sz w:val="20"/>
          <w:szCs w:val="20"/>
          <w:color w:val="auto"/>
        </w:rPr>
      </w:pPr>
    </w:p>
    <w:p>
      <w:pPr>
        <w:jc w:val="both"/>
        <w:ind w:right="160" w:firstLine="509"/>
        <w:spacing w:after="0" w:line="243" w:lineRule="auto"/>
        <w:rPr>
          <w:sz w:val="20"/>
          <w:szCs w:val="20"/>
          <w:color w:val="auto"/>
        </w:rPr>
      </w:pPr>
      <w:r>
        <w:rPr>
          <w:rFonts w:ascii="Arial" w:cs="Arial" w:eastAsia="Arial" w:hAnsi="Arial"/>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188"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2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80"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2" w:lineRule="exact"/>
        <w:rPr>
          <w:sz w:val="20"/>
          <w:szCs w:val="20"/>
          <w:color w:val="auto"/>
        </w:rPr>
      </w:pPr>
    </w:p>
    <w:p>
      <w:pPr>
        <w:ind w:right="280" w:firstLine="509"/>
        <w:spacing w:after="0" w:line="284" w:lineRule="auto"/>
        <w:rPr>
          <w:sz w:val="20"/>
          <w:szCs w:val="20"/>
          <w:color w:val="auto"/>
        </w:rPr>
      </w:pPr>
      <w:r>
        <w:rPr>
          <w:rFonts w:ascii="Arial" w:cs="Arial" w:eastAsia="Arial" w:hAnsi="Arial"/>
          <w:sz w:val="16"/>
          <w:szCs w:val="16"/>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ind w:firstLine="509"/>
        <w:spacing w:after="0" w:line="324" w:lineRule="auto"/>
        <w:rPr>
          <w:sz w:val="20"/>
          <w:szCs w:val="20"/>
          <w:color w:val="auto"/>
        </w:rPr>
      </w:pPr>
      <w:r>
        <w:rPr>
          <w:rFonts w:ascii="Arial" w:cs="Arial" w:eastAsia="Arial" w:hAnsi="Arial"/>
          <w:sz w:val="16"/>
          <w:szCs w:val="16"/>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12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189"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Some of our third-party manufacturers which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our clinical development.</w:t>
      </w:r>
    </w:p>
    <w:p>
      <w:pPr>
        <w:spacing w:after="0" w:line="18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290" w:lineRule="exact"/>
        <w:rPr>
          <w:sz w:val="20"/>
          <w:szCs w:val="20"/>
          <w:color w:val="auto"/>
        </w:rPr>
      </w:pPr>
    </w:p>
    <w:p>
      <w:pPr>
        <w:jc w:val="both"/>
        <w:ind w:right="200"/>
        <w:spacing w:after="0" w:line="294" w:lineRule="auto"/>
        <w:rPr>
          <w:sz w:val="20"/>
          <w:szCs w:val="20"/>
          <w:color w:val="auto"/>
        </w:rPr>
      </w:pPr>
      <w:r>
        <w:rPr>
          <w:rFonts w:ascii="Arial" w:cs="Arial" w:eastAsia="Arial" w:hAnsi="Arial"/>
          <w:sz w:val="16"/>
          <w:szCs w:val="16"/>
          <w:b w:val="1"/>
          <w:bCs w:val="1"/>
          <w:i w:val="1"/>
          <w:iCs w:val="1"/>
          <w:color w:val="auto"/>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3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72" w:lineRule="exact"/>
        <w:rPr>
          <w:sz w:val="20"/>
          <w:szCs w:val="20"/>
          <w:color w:val="auto"/>
        </w:rPr>
      </w:pPr>
    </w:p>
    <w:p>
      <w:pPr>
        <w:ind w:left="1020" w:right="100" w:hanging="503"/>
        <w:spacing w:after="0" w:line="239"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82" w:lineRule="exact"/>
        <w:rPr>
          <w:rFonts w:ascii="Arial" w:cs="Arial" w:eastAsia="Arial" w:hAnsi="Arial"/>
          <w:sz w:val="18"/>
          <w:szCs w:val="18"/>
          <w:color w:val="auto"/>
        </w:rPr>
      </w:pPr>
    </w:p>
    <w:p>
      <w:pPr>
        <w:ind w:left="1020" w:right="80" w:hanging="503"/>
        <w:spacing w:after="0" w:line="24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81" w:lineRule="exact"/>
        <w:rPr>
          <w:rFonts w:ascii="Arial" w:cs="Arial" w:eastAsia="Arial" w:hAnsi="Arial"/>
          <w:sz w:val="18"/>
          <w:szCs w:val="18"/>
          <w:color w:val="auto"/>
        </w:rPr>
      </w:pPr>
    </w:p>
    <w:p>
      <w:pPr>
        <w:ind w:left="1020" w:right="40" w:hanging="503"/>
        <w:spacing w:after="0" w:line="239"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1" w:name="page62"/>
    <w:bookmarkEnd w:id="61"/>
    <w:p>
      <w:pPr>
        <w:ind w:left="1020" w:right="140" w:hanging="503"/>
        <w:spacing w:after="0" w:line="276"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w:t>
      </w:r>
    </w:p>
    <w:p>
      <w:pPr>
        <w:spacing w:after="0" w:line="53" w:lineRule="exact"/>
        <w:rPr>
          <w:rFonts w:ascii="Arial" w:cs="Arial" w:eastAsia="Arial" w:hAnsi="Arial"/>
          <w:sz w:val="16"/>
          <w:szCs w:val="16"/>
          <w:color w:val="auto"/>
        </w:rPr>
      </w:pPr>
    </w:p>
    <w:p>
      <w:pPr>
        <w:ind w:left="1020" w:right="2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020" w:right="20" w:hanging="503"/>
        <w:spacing w:after="0" w:line="239"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19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180"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56" w:lineRule="exact"/>
        <w:rPr>
          <w:sz w:val="20"/>
          <w:szCs w:val="20"/>
          <w:color w:val="auto"/>
        </w:rPr>
      </w:pPr>
    </w:p>
    <w:p>
      <w:pPr>
        <w:ind w:right="80" w:firstLine="509"/>
        <w:spacing w:after="0" w:line="205" w:lineRule="exact"/>
        <w:rPr>
          <w:sz w:val="20"/>
          <w:szCs w:val="20"/>
          <w:color w:val="auto"/>
        </w:rPr>
      </w:pPr>
      <w:r>
        <w:rPr>
          <w:rFonts w:ascii="Arial" w:cs="Arial" w:eastAsia="Arial" w:hAnsi="Arial"/>
          <w:sz w:val="17"/>
          <w:szCs w:val="17"/>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CHB and NASH programs, we do not own or in-license any issued patents with claims that specifically recite our ALG</w:t>
      </w:r>
      <w:r>
        <w:rPr>
          <w:rFonts w:ascii="MS PGothic" w:cs="MS PGothic" w:eastAsia="MS PGothic" w:hAnsi="MS PGothic"/>
          <w:sz w:val="17"/>
          <w:szCs w:val="17"/>
          <w:color w:val="auto"/>
        </w:rPr>
        <w:t>‑</w:t>
      </w:r>
      <w:r>
        <w:rPr>
          <w:rFonts w:ascii="Arial" w:cs="Arial" w:eastAsia="Arial" w:hAnsi="Arial"/>
          <w:sz w:val="17"/>
          <w:szCs w:val="17"/>
          <w:color w:val="auto"/>
        </w:rPr>
        <w:t>125755 or ALG-097558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ind w:right="20"/>
        <w:spacing w:after="0" w:line="241" w:lineRule="auto"/>
        <w:rPr>
          <w:sz w:val="20"/>
          <w:szCs w:val="20"/>
          <w:color w:val="auto"/>
        </w:rPr>
      </w:pPr>
      <w:r>
        <w:rPr>
          <w:rFonts w:ascii="Arial" w:cs="Arial" w:eastAsia="Arial" w:hAnsi="Arial"/>
          <w:sz w:val="18"/>
          <w:szCs w:val="18"/>
          <w:color w:val="auto"/>
        </w:rPr>
        <w:t>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p>
    <w:p>
      <w:pPr>
        <w:spacing w:after="0" w:line="189"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191"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We currently are the assignee of a number of U.S. provisional patent applications. U.S. provisional patent applications are not eligible to become issued patents until, among other things, we file a non-provisional patent application within 12 months of filing of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16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8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180"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ind w:right="20" w:firstLine="509"/>
        <w:spacing w:after="0" w:line="254"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28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80"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KU Leuven.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p>
    <w:p>
      <w:pPr>
        <w:spacing w:after="0" w:line="17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Centre for Drug Design and Discovery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80"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KU Leuven Agreement, the licensor may have the right to terminate the license. Under some of our in-license agreements, as a sublicensee, we may be obligated to comply with applicable requirements, limitations or obligations of our sublicensors to other third parties. Further, under in-licenses under which we sublicense certain rights, we rely on our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180"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4" w:name="page65"/>
    <w:bookmarkEnd w:id="64"/>
    <w:p>
      <w:pPr>
        <w:ind w:right="60" w:firstLine="509"/>
        <w:spacing w:after="0" w:line="253" w:lineRule="auto"/>
        <w:rPr>
          <w:sz w:val="20"/>
          <w:szCs w:val="20"/>
          <w:color w:val="auto"/>
        </w:rPr>
      </w:pPr>
      <w:r>
        <w:rPr>
          <w:rFonts w:ascii="Arial" w:cs="Arial" w:eastAsia="Arial" w:hAnsi="Arial"/>
          <w:sz w:val="17"/>
          <w:szCs w:val="17"/>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4" w:lineRule="exact"/>
        <w:rPr>
          <w:sz w:val="20"/>
          <w:szCs w:val="20"/>
          <w:color w:val="auto"/>
        </w:rPr>
      </w:pPr>
    </w:p>
    <w:p>
      <w:pPr>
        <w:jc w:val="both"/>
        <w:ind w:right="400" w:firstLine="509"/>
        <w:spacing w:after="0" w:line="24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74"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intellectual property of the other party that are not subject to the licensing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21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19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188"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2021, previously filed with the SEC.</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5" w:name="page66"/>
    <w:bookmarkEnd w:id="65"/>
    <w:p>
      <w:pPr>
        <w:ind w:right="40"/>
        <w:spacing w:after="0" w:line="253" w:lineRule="auto"/>
        <w:rPr>
          <w:sz w:val="20"/>
          <w:szCs w:val="20"/>
          <w:color w:val="auto"/>
        </w:rPr>
      </w:pPr>
      <w:r>
        <w:rPr>
          <w:rFonts w:ascii="Arial" w:cs="Arial" w:eastAsia="Arial" w:hAnsi="Arial"/>
          <w:sz w:val="17"/>
          <w:szCs w:val="17"/>
          <w:color w:val="auto"/>
        </w:rPr>
        <w:t>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Beginning in June 2022, the license to such patents will become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2021, previously filed with the SEC on March 10, 2022. Any of the foregoing could harm our competitive position, business, financial condition, results of operations and prospects.</w:t>
      </w:r>
    </w:p>
    <w:p>
      <w:pPr>
        <w:spacing w:after="0" w:line="292"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39"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175" w:lineRule="exact"/>
        <w:rPr>
          <w:sz w:val="20"/>
          <w:szCs w:val="20"/>
          <w:color w:val="auto"/>
        </w:rPr>
      </w:pPr>
    </w:p>
    <w:p>
      <w:pPr>
        <w:ind w:right="60" w:firstLine="509"/>
        <w:spacing w:after="0" w:line="207" w:lineRule="exact"/>
        <w:rPr>
          <w:sz w:val="20"/>
          <w:szCs w:val="20"/>
          <w:color w:val="auto"/>
        </w:rPr>
      </w:pPr>
      <w:r>
        <w:rPr>
          <w:rFonts w:ascii="Arial" w:cs="Arial" w:eastAsia="Arial" w:hAnsi="Arial"/>
          <w:sz w:val="18"/>
          <w:szCs w:val="18"/>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055009 and ALG</w:t>
      </w:r>
      <w:r>
        <w:rPr>
          <w:rFonts w:ascii="MS PGothic" w:cs="MS PGothic" w:eastAsia="MS PGothic" w:hAnsi="MS PGothic"/>
          <w:sz w:val="18"/>
          <w:szCs w:val="18"/>
          <w:color w:val="auto"/>
        </w:rPr>
        <w:t>‑</w:t>
      </w:r>
      <w:r>
        <w:rPr>
          <w:rFonts w:ascii="Arial" w:cs="Arial" w:eastAsia="Arial" w:hAnsi="Arial"/>
          <w:sz w:val="18"/>
          <w:szCs w:val="18"/>
          <w:color w:val="auto"/>
        </w:rPr>
        <w:t>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19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establish our competitive position on our drug candidates for an adequate amount of time.</w:t>
      </w:r>
    </w:p>
    <w:p>
      <w:pPr>
        <w:spacing w:after="0" w:line="9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6" w:name="page67"/>
    <w:bookmarkEnd w:id="66"/>
    <w:p>
      <w:pPr>
        <w:ind w:right="40" w:firstLine="509"/>
        <w:spacing w:after="0" w:line="252" w:lineRule="auto"/>
        <w:rPr>
          <w:sz w:val="20"/>
          <w:szCs w:val="20"/>
          <w:color w:val="auto"/>
        </w:rPr>
      </w:pPr>
      <w:r>
        <w:rPr>
          <w:rFonts w:ascii="Arial" w:cs="Arial" w:eastAsia="Arial" w:hAnsi="Arial"/>
          <w:sz w:val="17"/>
          <w:szCs w:val="17"/>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180"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18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91"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drug candidates.</w:t>
      </w:r>
    </w:p>
    <w:p>
      <w:pPr>
        <w:spacing w:after="0" w:line="104"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19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 xml:space="preserve">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USPTO has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293" w:lineRule="exact"/>
        <w:rPr>
          <w:sz w:val="20"/>
          <w:szCs w:val="20"/>
          <w:color w:val="auto"/>
        </w:rPr>
      </w:pPr>
    </w:p>
    <w:p>
      <w:pPr>
        <w:ind w:right="360"/>
        <w:spacing w:after="0" w:line="356" w:lineRule="auto"/>
        <w:rPr>
          <w:sz w:val="20"/>
          <w:szCs w:val="20"/>
          <w:color w:val="auto"/>
        </w:rPr>
      </w:pPr>
      <w:r>
        <w:rPr>
          <w:rFonts w:ascii="Arial" w:cs="Arial" w:eastAsia="Arial" w:hAnsi="Arial"/>
          <w:sz w:val="15"/>
          <w:szCs w:val="15"/>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71"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8" w:name="page69"/>
    <w:bookmarkEnd w:id="68"/>
    <w:p>
      <w:pPr>
        <w:ind w:right="100"/>
        <w:spacing w:after="0" w:line="241" w:lineRule="auto"/>
        <w:rPr>
          <w:sz w:val="20"/>
          <w:szCs w:val="20"/>
          <w:color w:val="auto"/>
        </w:rPr>
      </w:pPr>
      <w:r>
        <w:rPr>
          <w:rFonts w:ascii="Arial" w:cs="Arial" w:eastAsia="Arial" w:hAnsi="Arial"/>
          <w:sz w:val="18"/>
          <w:szCs w:val="18"/>
          <w:color w:val="auto"/>
        </w:rPr>
        <w:t>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18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88"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1"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27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16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9" w:name="page70"/>
    <w:bookmarkEnd w:id="69"/>
    <w:p>
      <w:pPr>
        <w:ind w:right="100"/>
        <w:spacing w:after="0" w:line="26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6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8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As another example, in March 2022, Janssen Biopharma, LLC (Janssen) brought an action against our company, Lawrence M. Blatt, Ph.D., Chairman, Chief Executive Officer and Director of our company, and Leonid Beigelman, Ph.D., President and Director of our company, which generally concerns an alleged breach by certain our employees of their obligations to Janssen as prior employees of Janssen by purporting to assign to Aligos various inventions allegedly owned by Janssen. As a result, Janssen is seeking, among other things, injunctive relief (including declaratory judgment of ownership of certain of our intellectual property) and monetary damages.</w:t>
      </w:r>
    </w:p>
    <w:p>
      <w:pPr>
        <w:spacing w:after="0" w:line="81"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Janssen has considerable resources available to it; we, on the other hand, are an early-stage company with comparatively few resources available to us to engage in costly and protracted litigation. Such intellectual property related claims asserted against us could be costly to defend and could limit our ability to use some technologies in the future. They will be time consuming, will divert our chief executive officer’s, our president’s, management’s and scientific personnel’s attention, may be used by Janssen in an effort to generate negative publicity with our investors, and may result in liability for substantial damages. For example, we may incur significant expense and substantial time in defending against our current intellectual property dispute with Janssen. We anticipate that Janssen may use litigation, including filing amended or new complaints, other court filings, public statements and press releases, regardless of merit in an attempt to disrupt our business and create uncertainty about our future prospects, which could create volatility in the trading price of our common stock or damage to our reputation. In addition, in the event of an unfavorable judgment, Janssen could obtain an injunction against the use of any alleged Janssen intellectual property that could affect our ability to develop or commercialize our drug candidates.</w:t>
      </w:r>
    </w:p>
    <w:p>
      <w:pPr>
        <w:spacing w:after="0" w:line="6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An adverse judgment in the Janssen proceeding could require us to pay damages, attorneys’ fees, costs and expenses, or result in injunctive relief and the assignment of intellectual property from us to Janssen, or generate negative publicity, any of which could materially adversely affect our business, financial condition, results of operations and prospects. For more information on our current legal and regulatory proceedings, see Part II, Item 1 — “Legal Proceedings.”</w:t>
      </w:r>
    </w:p>
    <w:p>
      <w:pPr>
        <w:spacing w:after="0" w:line="188"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If we fail in prosecuting or defending any such claims described above,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4"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1020" w:right="30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62"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15" w:lineRule="exact"/>
        <w:rPr>
          <w:rFonts w:ascii="Arial" w:cs="Arial" w:eastAsia="Arial" w:hAnsi="Arial"/>
          <w:sz w:val="17"/>
          <w:szCs w:val="17"/>
          <w:color w:val="auto"/>
        </w:rPr>
      </w:pPr>
    </w:p>
    <w:p>
      <w:pPr>
        <w:ind w:left="1020" w:right="680" w:hanging="503"/>
        <w:spacing w:after="0" w:line="291"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intellectual property rights of others may harm our business; and</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directed to such intellectual property.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harm our business, financial condition, results of operations and prospects.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08"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3"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color w:val="auto"/>
        </w:rPr>
        <w:t>We are highly dependent on our management, scientific and medical personnel, including our Chief Executive Officer, Dr. Blatt, and our President, Dr. Beigelman.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14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29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63"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71" w:name="page72"/>
    <w:bookmarkEnd w:id="71"/>
    <w:p>
      <w:pPr>
        <w:ind w:right="100"/>
        <w:spacing w:after="0" w:line="238" w:lineRule="auto"/>
        <w:rPr>
          <w:sz w:val="20"/>
          <w:szCs w:val="20"/>
          <w:color w:val="auto"/>
        </w:rPr>
      </w:pPr>
      <w:r>
        <w:rPr>
          <w:rFonts w:ascii="Arial" w:cs="Arial" w:eastAsia="Arial" w:hAnsi="Arial"/>
          <w:sz w:val="18"/>
          <w:szCs w:val="18"/>
          <w:color w:val="auto"/>
        </w:rPr>
        <w:t>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0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As of June 30, 2022, we had 89 full-time employees, including 72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80"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03"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expanding and enhancing our operational, financial and management controls, reporting systems and procedures.</w:t>
      </w:r>
    </w:p>
    <w:p>
      <w:pPr>
        <w:spacing w:after="0" w:line="212"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8"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1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27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3" w:lineRule="exact"/>
        <w:rPr>
          <w:sz w:val="20"/>
          <w:szCs w:val="20"/>
          <w:color w:val="auto"/>
        </w:rPr>
      </w:pPr>
    </w:p>
    <w:p>
      <w:pPr>
        <w:ind w:right="240" w:firstLine="509"/>
        <w:spacing w:after="0" w:line="27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161"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2" w:name="page73"/>
    <w:bookmarkEnd w:id="72"/>
    <w:p>
      <w:pPr>
        <w:ind w:right="260"/>
        <w:spacing w:after="0" w:line="261" w:lineRule="auto"/>
        <w:rPr>
          <w:sz w:val="20"/>
          <w:szCs w:val="20"/>
          <w:color w:val="auto"/>
        </w:rPr>
      </w:pPr>
      <w:r>
        <w:rPr>
          <w:rFonts w:ascii="Arial" w:cs="Arial" w:eastAsia="Arial" w:hAnsi="Arial"/>
          <w:sz w:val="18"/>
          <w:szCs w:val="18"/>
          <w:color w:val="auto"/>
        </w:rPr>
        <w:t>with our storage or disposal of biological, hazardous or radioactive materials, and as such we would have to pay the full amount of any resultant liability out of pocket, which could significantly impair our financial condition.</w:t>
      </w:r>
    </w:p>
    <w:p>
      <w:pPr>
        <w:spacing w:after="0" w:line="27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291"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39"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investors.</w:t>
      </w:r>
    </w:p>
    <w:p>
      <w:pPr>
        <w:spacing w:after="0" w:line="10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ongoing COVID-19 pandemic, for example, has negatively affected the stock market and investor sentiment and has resulted in significant volatility. The market price for our common stock may be influenced by many factors, including:</w:t>
      </w:r>
    </w:p>
    <w:p>
      <w:pPr>
        <w:spacing w:after="0" w:line="80"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 of our and competitive products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clinical trials and nonclinical studies or those of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3" w:name="page74"/>
    <w:bookmarkEnd w:id="73"/>
    <w:p>
      <w:pPr>
        <w:ind w:left="1020" w:right="38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including the Janssen litigation, and our ability to obtain intellectual property protection for our technologies;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expenses related to our drug candidates or clinical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drug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1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82"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Prior to our initial public offering in October 2020, there was no public market for shares of our common stock and an active trading market for our shares may not be sustained. In the absence of an active trading market for our common stock, investors may not be able to sell their common stock at a price or at the time that they would like to sell.</w:t>
      </w:r>
    </w:p>
    <w:p>
      <w:pPr>
        <w:spacing w:after="0" w:line="182"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297"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3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4" w:name="page75"/>
    <w:bookmarkEnd w:id="74"/>
    <w:p>
      <w:pPr>
        <w:ind w:right="100"/>
        <w:spacing w:after="0" w:line="259" w:lineRule="auto"/>
        <w:rPr>
          <w:sz w:val="20"/>
          <w:szCs w:val="20"/>
          <w:color w:val="auto"/>
        </w:rPr>
      </w:pPr>
      <w:r>
        <w:rPr>
          <w:rFonts w:ascii="Arial" w:cs="Arial" w:eastAsia="Arial" w:hAnsi="Arial"/>
          <w:sz w:val="17"/>
          <w:szCs w:val="17"/>
          <w:color w:val="auto"/>
        </w:rPr>
        <w:t>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w:t>
      </w:r>
    </w:p>
    <w:p>
      <w:pPr>
        <w:spacing w:after="0" w:line="174"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74"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p>
    <w:p>
      <w:pPr>
        <w:spacing w:after="0" w:line="159"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p>
    <w:p>
      <w:pPr>
        <w:spacing w:after="0" w:line="29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6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As of June 30, 2022, our executive officers, directors and their affiliates beneficially own, in the aggregate, approximately 41.2% of our outstanding common stock (assuming all shares of non-voting common stock are converted into voting common stock in accordance with the terms of our amended and restated certificate of incorporation).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51"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2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63"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June 30, 2022,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Exchange Act), and may not be subject to the short-swing profit provisions of Section 16(b) of the Exchange Act.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June 30, 2022, approximately 10.9 million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88"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addition, the holders of approximately 42.8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an IRC Section 382 analysis in 2021 and determined there was an ownership change that resulted in Section 382 limitations. The ownership change limited our ability to utilize net operating losses against future taxable income but will not result in the expiration of any NOLs.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29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96" w:lineRule="exact"/>
        <w:rPr>
          <w:sz w:val="20"/>
          <w:szCs w:val="20"/>
          <w:color w:val="auto"/>
        </w:rPr>
      </w:pPr>
    </w:p>
    <w:p>
      <w:pPr>
        <w:ind w:right="60"/>
        <w:spacing w:after="0" w:line="356" w:lineRule="auto"/>
        <w:rPr>
          <w:sz w:val="20"/>
          <w:szCs w:val="20"/>
          <w:color w:val="auto"/>
        </w:rPr>
      </w:pPr>
      <w:r>
        <w:rPr>
          <w:rFonts w:ascii="Arial" w:cs="Arial" w:eastAsia="Arial" w:hAnsi="Arial"/>
          <w:sz w:val="15"/>
          <w:szCs w:val="15"/>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Pursuant to Section 404 of Sarbanes-Oxley, our management is required to report upon the effectiveness of our internal control over financial reporting beginning with the annual report for our fiscal year ending December 31, 2021.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p>
    <w:p>
      <w:pPr>
        <w:spacing w:after="0" w:line="19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6" w:name="page77"/>
    <w:bookmarkEnd w:id="76"/>
    <w:p>
      <w:pPr>
        <w:ind w:right="60"/>
        <w:spacing w:after="0" w:line="261" w:lineRule="auto"/>
        <w:rPr>
          <w:sz w:val="20"/>
          <w:szCs w:val="20"/>
          <w:color w:val="auto"/>
        </w:rPr>
      </w:pPr>
      <w:r>
        <w:rPr>
          <w:rFonts w:ascii="Arial" w:cs="Arial" w:eastAsia="Arial" w:hAnsi="Arial"/>
          <w:sz w:val="18"/>
          <w:szCs w:val="18"/>
          <w:color w:val="auto"/>
        </w:rPr>
        <w:t>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63"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39" w:lineRule="exact"/>
        <w:rPr>
          <w:sz w:val="20"/>
          <w:szCs w:val="20"/>
          <w:color w:val="auto"/>
        </w:rPr>
      </w:pPr>
    </w:p>
    <w:p>
      <w:pPr>
        <w:ind w:left="1020" w:right="26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0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6" w:lineRule="exact"/>
        <w:rPr>
          <w:rFonts w:ascii="Arial" w:cs="Arial" w:eastAsia="Arial" w:hAnsi="Arial"/>
          <w:sz w:val="16"/>
          <w:szCs w:val="16"/>
          <w:color w:val="auto"/>
        </w:rPr>
      </w:pPr>
    </w:p>
    <w:p>
      <w:pPr>
        <w:jc w:val="both"/>
        <w:ind w:left="1020" w:right="100" w:hanging="503"/>
        <w:spacing w:after="0" w:line="24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03" w:lineRule="exact"/>
        <w:rPr>
          <w:rFonts w:ascii="Arial" w:cs="Arial" w:eastAsia="Arial" w:hAnsi="Arial"/>
          <w:sz w:val="18"/>
          <w:szCs w:val="18"/>
          <w:color w:val="auto"/>
        </w:rPr>
      </w:pPr>
    </w:p>
    <w:p>
      <w:pPr>
        <w:ind w:left="1020" w:right="140" w:hanging="503"/>
        <w:spacing w:after="0" w:line="24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7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20" w:right="120" w:hanging="503"/>
        <w:spacing w:after="0" w:line="24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9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3"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1"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63" w:lineRule="exact"/>
        <w:rPr>
          <w:sz w:val="20"/>
          <w:szCs w:val="20"/>
          <w:color w:val="auto"/>
        </w:rPr>
      </w:pPr>
    </w:p>
    <w:p>
      <w:pPr>
        <w:ind w:left="1020" w:right="100" w:hanging="503"/>
        <w:spacing w:after="0" w:line="262" w:lineRule="auto"/>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4" w:lineRule="exact"/>
        <w:rPr>
          <w:rFonts w:ascii="Arial" w:cs="Arial" w:eastAsia="Arial" w:hAnsi="Arial"/>
          <w:sz w:val="17"/>
          <w:szCs w:val="17"/>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7" w:name="page78"/>
    <w:bookmarkEnd w:id="77"/>
    <w:p>
      <w:pPr>
        <w:jc w:val="both"/>
        <w:ind w:left="1020" w:right="180" w:hanging="503"/>
        <w:spacing w:after="0" w:line="324"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 w:lineRule="exact"/>
        <w:rPr>
          <w:rFonts w:ascii="Arial" w:cs="Arial" w:eastAsia="Arial" w:hAnsi="Arial"/>
          <w:sz w:val="16"/>
          <w:szCs w:val="16"/>
          <w:color w:val="auto"/>
        </w:rPr>
      </w:pPr>
    </w:p>
    <w:p>
      <w:pPr>
        <w:ind w:left="1020" w:right="340" w:hanging="503"/>
        <w:spacing w:after="0" w:line="291"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38" w:lineRule="exact"/>
        <w:rPr>
          <w:rFonts w:ascii="Arial" w:cs="Arial" w:eastAsia="Arial" w:hAnsi="Arial"/>
          <w:sz w:val="17"/>
          <w:szCs w:val="17"/>
          <w:color w:val="auto"/>
        </w:rPr>
      </w:pPr>
    </w:p>
    <w:p>
      <w:pPr>
        <w:ind w:left="1020" w:right="540" w:hanging="503"/>
        <w:spacing w:after="0" w:line="324"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16" w:lineRule="exact"/>
        <w:rPr>
          <w:rFonts w:ascii="Arial" w:cs="Arial" w:eastAsia="Arial" w:hAnsi="Arial"/>
          <w:sz w:val="16"/>
          <w:szCs w:val="16"/>
          <w:color w:val="auto"/>
        </w:rPr>
      </w:pPr>
    </w:p>
    <w:p>
      <w:pPr>
        <w:ind w:left="1020" w:right="14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79"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w:t>
      </w:r>
    </w:p>
    <w:p>
      <w:pPr>
        <w:spacing w:after="0" w:line="127"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15"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including due to the current inflationary economic environment and rising interest rates. For example, the 2008 global financial crisis caused extreme volatility and disruptions in the capital and credit markets. In addition,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ongoing armed conflict between Russia and Ukraine could adversely affect our business, financial condition, and results of operations.</w:t>
      </w:r>
    </w:p>
    <w:p>
      <w:pPr>
        <w:spacing w:after="0" w:line="127"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4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80" w:lineRule="exact"/>
        <w:rPr>
          <w:sz w:val="20"/>
          <w:szCs w:val="20"/>
          <w:color w:val="auto"/>
        </w:rPr>
      </w:pPr>
    </w:p>
    <w:p>
      <w:pPr>
        <w:ind w:left="1020" w:right="140" w:hanging="503"/>
        <w:spacing w:after="0" w:line="248"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7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67"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We are actively monitoring the situation in Ukraine and Russia and assessing its impact on our business, including our business partners and customers. For example, we originally planned to have trial sites in Ukraine and Moldova for the conduct of our current and future clinical studies. However, given the conflict between Ukraine and Russia, conducting studies in Ukraine and Moldova has not been possible thereby impacting our ability to conduct clinical trials despite our efforts to mitigate its impact. Such impact on our ability to conduct our clinical trials as planned could consequently materially impact our development programs and business.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27"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15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United Kingdom’s withdrawal from the EU may have a negative effect on global economic conditions, financial markets and our business.</w:t>
      </w:r>
    </w:p>
    <w:p>
      <w:pPr>
        <w:spacing w:after="0" w:line="127" w:lineRule="exact"/>
        <w:rPr>
          <w:sz w:val="20"/>
          <w:szCs w:val="20"/>
          <w:color w:val="auto"/>
        </w:rPr>
      </w:pPr>
    </w:p>
    <w:p>
      <w:pPr>
        <w:ind w:right="180" w:firstLine="509"/>
        <w:spacing w:after="0" w:line="276"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the United Kingdom formally withdrew from the EU and ratified a trade and cooperation agreement (TCA) governing its future relationship with the EU, including ensuring tariff-free trade for certain goods and services. Since the regulatory framework for pharmaceutical products in the United Kingdom relating to quality, safety and efficacy of pharmaceutical products, clinical trials, marketing authorization, commercial sales and distribution of pharmaceutical products is derived from EU directives and regulations, Brexit will materially impact the future regulatory regime which applies to products and the approval of product candidates in the United Kingdom. Longer term, the United Kingdom is likely to develop its own legislation that diverges from that in the EU.</w:t>
      </w:r>
    </w:p>
    <w:p>
      <w:pPr>
        <w:spacing w:after="0" w:line="53"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The TCA provides details on how some aspects of the United Kingdom’s and EU’s relationship will operate going forwards, however there are still many uncertainties. The uncertainty concerning the United Kingdom’s legal, political and economic relationship with the EU since Brexit may be a source of instability in the international markets, create significant currency fluctuations, and/or otherwise adversely affect trading agreements or similar cross-border co-operation arrangements (whether economic, tax, fiscal, legal, regulatory or otherwise). 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w:t>
      </w:r>
    </w:p>
    <w:p>
      <w:pPr>
        <w:spacing w:after="0" w:line="28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63"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288"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7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80" w:name="page81"/>
    <w:bookmarkEnd w:id="80"/>
    <w:p>
      <w:pPr>
        <w:ind w:right="120"/>
        <w:spacing w:after="0" w:line="248" w:lineRule="auto"/>
        <w:rPr>
          <w:sz w:val="20"/>
          <w:szCs w:val="20"/>
          <w:color w:val="auto"/>
        </w:rPr>
      </w:pPr>
      <w:r>
        <w:rPr>
          <w:rFonts w:ascii="Arial" w:cs="Arial" w:eastAsia="Arial" w:hAnsi="Arial"/>
          <w:sz w:val="18"/>
          <w:szCs w:val="18"/>
          <w:color w:val="auto"/>
        </w:rPr>
        <w:t>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15"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169"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7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5"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1" w:name="page82"/>
    <w:bookmarkEnd w:id="81"/>
    <w:p>
      <w:pPr>
        <w:ind w:right="540"/>
        <w:spacing w:after="0" w:line="274" w:lineRule="auto"/>
        <w:rPr>
          <w:sz w:val="20"/>
          <w:szCs w:val="20"/>
          <w:color w:val="auto"/>
        </w:rPr>
      </w:pPr>
      <w:r>
        <w:rPr>
          <w:rFonts w:ascii="Arial" w:cs="Arial" w:eastAsia="Arial" w:hAnsi="Arial"/>
          <w:sz w:val="17"/>
          <w:szCs w:val="17"/>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53"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w:t>
      </w:r>
    </w:p>
    <w:p>
      <w:pPr>
        <w:spacing w:after="0" w:line="17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25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6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28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Current or future litigation or administrative proceedings could have a material adverse effect on our business, our financial condition and our results of operations.</w:t>
      </w:r>
    </w:p>
    <w:p>
      <w:pPr>
        <w:spacing w:after="0" w:line="6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250"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67"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82" w:name="page83"/>
    <w:bookmarkEnd w:id="82"/>
    <w:p>
      <w:pPr>
        <w:ind w:right="280"/>
        <w:spacing w:after="0" w:line="261" w:lineRule="auto"/>
        <w:rPr>
          <w:sz w:val="20"/>
          <w:szCs w:val="20"/>
          <w:color w:val="auto"/>
        </w:rPr>
      </w:pPr>
      <w:r>
        <w:rPr>
          <w:rFonts w:ascii="Arial" w:cs="Arial" w:eastAsia="Arial" w:hAnsi="Arial"/>
          <w:sz w:val="18"/>
          <w:szCs w:val="18"/>
          <w:color w:val="auto"/>
        </w:rPr>
        <w:t>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fluctuations in our tax obligations and effective tax rate, which could materially and adversely affect our results of operations.</w:t>
      </w:r>
    </w:p>
    <w:p>
      <w:pPr>
        <w:spacing w:after="0" w:line="11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mix and level of earnings in a given taxing jurisdiction or our ownership or capital structures.</w:t>
      </w:r>
    </w:p>
    <w:p>
      <w:pPr>
        <w:spacing w:after="0" w:line="284"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7"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84"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8"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IPO</w:t>
      </w:r>
    </w:p>
    <w:p>
      <w:pPr>
        <w:spacing w:after="0" w:line="90"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On October 15, 2020, our registration statement on Form S-1 (File No. 333-249077) relating to our IPO of Common Stock became effective. The IPO closed on October 20, 2020 at which time we issued 10,000,000 shares of common stock at a public offering price of $15.00 per share. We received net proceeds from the IPO of approximately $135.4 million, after deducting the underwriting discounts and commissions of $10.5 million and expenses of $4.1 million. None of the expenses associated with the IPO were paid to directors, officers, persons owning 10% or more of any class of equity securities, or to our affiliates. On November 5, 2020 the underwriters of the IPO partially exercised their overallotment option by purchasing an additional 1,150,000 shares from us at the IPO price, resulting in an additional $16.0 million in net proceeds after deducting the underwriting discounts and commissions. J.P. Morgan Securities LLC, Jefferies LLC, Piper Sandler &amp; Co. acted as joint book-running managers for the offering.</w:t>
      </w:r>
    </w:p>
    <w:p>
      <w:pPr>
        <w:spacing w:after="0" w:line="163"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19,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purchasers of equity securities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89" w:lineRule="exact"/>
        <w:rPr>
          <w:sz w:val="20"/>
          <w:szCs w:val="20"/>
          <w:color w:val="auto"/>
        </w:rPr>
      </w:pPr>
    </w:p>
    <w:p>
      <w:pPr>
        <w:jc w:val="center"/>
        <w:ind w:right="9100"/>
        <w:spacing w:after="0"/>
        <w:rPr>
          <w:sz w:val="20"/>
          <w:szCs w:val="20"/>
          <w:color w:val="auto"/>
        </w:rPr>
      </w:pPr>
      <w:r>
        <w:rPr>
          <w:rFonts w:ascii="Arial" w:cs="Arial" w:eastAsia="Arial" w:hAnsi="Arial"/>
          <w:sz w:val="17"/>
          <w:szCs w:val="17"/>
          <w:b w:val="1"/>
          <w:bCs w:val="1"/>
          <w:color w:val="auto"/>
        </w:rPr>
        <w:t>Item 5. Other Information.</w:t>
      </w:r>
    </w:p>
    <w:p>
      <w:pPr>
        <w:spacing w:after="0" w:line="92" w:lineRule="exact"/>
        <w:rPr>
          <w:sz w:val="20"/>
          <w:szCs w:val="20"/>
          <w:color w:val="auto"/>
        </w:rPr>
      </w:pPr>
    </w:p>
    <w:p>
      <w:pPr>
        <w:jc w:val="center"/>
        <w:ind w:right="90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37" w:right="399" w:bottom="1440" w:gutter="0" w:footer="0" w:header="0"/>
        </w:sectPr>
      </w:pPr>
    </w:p>
    <w:bookmarkStart w:id="84" w:name="page85"/>
    <w:bookmarkEnd w:id="84"/>
    <w:p>
      <w:pPr>
        <w:ind w:left="20"/>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620" w:type="dxa"/>
            <w:vAlign w:val="bottom"/>
            <w:tcBorders>
              <w:bottom w:val="single" w:sz="8" w:color="auto"/>
            </w:tcBorders>
          </w:tcPr>
          <w:p>
            <w:pPr>
              <w:spacing w:after="0"/>
              <w:rPr>
                <w:sz w:val="16"/>
                <w:szCs w:val="16"/>
                <w:color w:val="auto"/>
              </w:rPr>
            </w:pPr>
          </w:p>
        </w:tc>
      </w:tr>
      <w:tr>
        <w:trPr>
          <w:trHeight w:val="169"/>
        </w:trPr>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3"/>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4"/>
                <w:szCs w:val="14"/>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Form</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304"/>
        </w:trPr>
        <w:tc>
          <w:tcPr>
            <w:tcW w:w="94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3780" w:type="dxa"/>
            <w:vAlign w:val="bottom"/>
            <w:tcBorders>
              <w:bottom w:val="single" w:sz="8" w:color="0000EE"/>
            </w:tcBorders>
            <w:gridSpan w:val="8"/>
          </w:tcPr>
          <w:p>
            <w:pPr>
              <w:spacing w:after="0"/>
              <w:rPr>
                <w:rFonts w:ascii="Arial" w:cs="Arial" w:eastAsia="Arial" w:hAnsi="Arial"/>
                <w:sz w:val="18"/>
                <w:szCs w:val="18"/>
                <w:color w:val="0000FF"/>
                <w:w w:val="91"/>
              </w:rPr>
            </w:pPr>
            <w:hyperlink r:id="rId229">
              <w:r>
                <w:rPr>
                  <w:rFonts w:ascii="Arial" w:cs="Arial" w:eastAsia="Arial" w:hAnsi="Arial"/>
                  <w:sz w:val="18"/>
                  <w:szCs w:val="18"/>
                  <w:color w:val="0000FF"/>
                  <w:w w:val="91"/>
                </w:rPr>
                <w:t>Amended and Restated Certificate of Incorporation.</w:t>
              </w:r>
            </w:hyperlink>
          </w:p>
        </w:tc>
        <w:tc>
          <w:tcPr>
            <w:tcW w:w="214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115"/>
              <w:spacing w:after="0"/>
              <w:rPr>
                <w:sz w:val="20"/>
                <w:szCs w:val="20"/>
                <w:color w:val="auto"/>
              </w:rPr>
            </w:pPr>
            <w:r>
              <w:rPr>
                <w:rFonts w:ascii="Arial" w:cs="Arial" w:eastAsia="Arial" w:hAnsi="Arial"/>
                <w:sz w:val="18"/>
                <w:szCs w:val="18"/>
                <w:color w:val="auto"/>
                <w:w w:val="90"/>
              </w:rPr>
              <w:t>10/20/2020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3.1</w:t>
            </w:r>
          </w:p>
        </w:tc>
      </w:tr>
      <w:tr>
        <w:trPr>
          <w:trHeight w:val="318"/>
        </w:trPr>
        <w:tc>
          <w:tcPr>
            <w:tcW w:w="94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360" w:type="dxa"/>
            <w:vAlign w:val="bottom"/>
            <w:tcBorders>
              <w:bottom w:val="single" w:sz="8" w:color="0000EE"/>
            </w:tcBorders>
            <w:gridSpan w:val="2"/>
          </w:tcPr>
          <w:p>
            <w:pPr>
              <w:spacing w:after="0"/>
              <w:rPr>
                <w:rFonts w:ascii="Arial" w:cs="Arial" w:eastAsia="Arial" w:hAnsi="Arial"/>
                <w:sz w:val="18"/>
                <w:szCs w:val="18"/>
                <w:color w:val="0000FF"/>
                <w:w w:val="91"/>
              </w:rPr>
            </w:pPr>
            <w:hyperlink r:id="rId230">
              <w:r>
                <w:rPr>
                  <w:rFonts w:ascii="Arial" w:cs="Arial" w:eastAsia="Arial" w:hAnsi="Arial"/>
                  <w:sz w:val="18"/>
                  <w:szCs w:val="18"/>
                  <w:color w:val="0000FF"/>
                  <w:w w:val="91"/>
                </w:rPr>
                <w:t>Amended and Restated Bylaws.</w:t>
              </w:r>
            </w:hyperlink>
          </w:p>
        </w:tc>
        <w:tc>
          <w:tcPr>
            <w:tcW w:w="3560" w:type="dxa"/>
            <w:vAlign w:val="bottom"/>
            <w:gridSpan w:val="13"/>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115"/>
              <w:spacing w:after="0"/>
              <w:rPr>
                <w:sz w:val="20"/>
                <w:szCs w:val="20"/>
                <w:color w:val="auto"/>
              </w:rPr>
            </w:pPr>
            <w:r>
              <w:rPr>
                <w:rFonts w:ascii="Arial" w:cs="Arial" w:eastAsia="Arial" w:hAnsi="Arial"/>
                <w:sz w:val="18"/>
                <w:szCs w:val="18"/>
                <w:color w:val="auto"/>
                <w:w w:val="90"/>
              </w:rPr>
              <w:t>10/20/2020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3.2</w:t>
            </w:r>
          </w:p>
        </w:tc>
      </w:tr>
      <w:tr>
        <w:trPr>
          <w:trHeight w:val="318"/>
        </w:trPr>
        <w:tc>
          <w:tcPr>
            <w:tcW w:w="94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592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229">
              <w:r>
                <w:rPr>
                  <w:rFonts w:ascii="Arial" w:cs="Arial" w:eastAsia="Arial" w:hAnsi="Arial"/>
                  <w:sz w:val="18"/>
                  <w:szCs w:val="18"/>
                  <w:color w:val="0000FF"/>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230">
              <w:r>
                <w:rPr>
                  <w:rFonts w:ascii="Arial" w:cs="Arial" w:eastAsia="Arial" w:hAnsi="Arial"/>
                  <w:sz w:val="18"/>
                  <w:szCs w:val="18"/>
                  <w:color w:val="0000FF"/>
                </w:rPr>
                <w:t>3.2</w:t>
              </w:r>
            </w:hyperlink>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94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2620" w:type="dxa"/>
            <w:vAlign w:val="bottom"/>
            <w:tcBorders>
              <w:bottom w:val="single" w:sz="8" w:color="0000FF"/>
            </w:tcBorders>
            <w:gridSpan w:val="4"/>
          </w:tcPr>
          <w:p>
            <w:pPr>
              <w:spacing w:after="0"/>
              <w:rPr>
                <w:rFonts w:ascii="Arial" w:cs="Arial" w:eastAsia="Arial" w:hAnsi="Arial"/>
                <w:sz w:val="18"/>
                <w:szCs w:val="18"/>
                <w:color w:val="0000FF"/>
                <w:w w:val="92"/>
              </w:rPr>
            </w:pPr>
            <w:hyperlink r:id="rId231">
              <w:r>
                <w:rPr>
                  <w:rFonts w:ascii="Arial" w:cs="Arial" w:eastAsia="Arial" w:hAnsi="Arial"/>
                  <w:sz w:val="18"/>
                  <w:szCs w:val="18"/>
                  <w:color w:val="0000FF"/>
                  <w:w w:val="92"/>
                </w:rPr>
                <w:t>Form of Common Stock Certificate.</w:t>
              </w:r>
            </w:hyperlink>
          </w:p>
        </w:tc>
        <w:tc>
          <w:tcPr>
            <w:tcW w:w="330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gridSpan w:val="3"/>
          </w:tcPr>
          <w:p>
            <w:pPr>
              <w:jc w:val="center"/>
              <w:ind w:left="115"/>
              <w:spacing w:after="0"/>
              <w:rPr>
                <w:sz w:val="20"/>
                <w:szCs w:val="20"/>
                <w:color w:val="auto"/>
              </w:rPr>
            </w:pPr>
            <w:r>
              <w:rPr>
                <w:rFonts w:ascii="Arial" w:cs="Arial" w:eastAsia="Arial" w:hAnsi="Arial"/>
                <w:sz w:val="18"/>
                <w:szCs w:val="18"/>
                <w:color w:val="auto"/>
                <w:w w:val="92"/>
              </w:rPr>
              <w:t>10/9/2020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4.2</w:t>
            </w:r>
          </w:p>
        </w:tc>
      </w:tr>
      <w:tr>
        <w:trPr>
          <w:trHeight w:val="453"/>
        </w:trPr>
        <w:tc>
          <w:tcPr>
            <w:tcW w:w="94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5920" w:type="dxa"/>
            <w:vAlign w:val="bottom"/>
            <w:gridSpan w:val="15"/>
          </w:tcPr>
          <w:p>
            <w:pPr>
              <w:spacing w:after="0"/>
              <w:rPr>
                <w:rFonts w:ascii="Arial" w:cs="Arial" w:eastAsia="Arial" w:hAnsi="Arial"/>
                <w:sz w:val="18"/>
                <w:szCs w:val="18"/>
                <w:color w:val="0000FF"/>
                <w:w w:val="92"/>
              </w:rPr>
            </w:pPr>
            <w:hyperlink w:anchor="page87">
              <w:r>
                <w:rPr>
                  <w:rFonts w:ascii="Arial" w:cs="Arial" w:eastAsia="Arial" w:hAnsi="Arial"/>
                  <w:sz w:val="18"/>
                  <w:szCs w:val="18"/>
                  <w:color w:val="0000FF"/>
                  <w:w w:val="92"/>
                </w:rPr>
                <w:t>Certification of Principal Executive Officer Pursuant to Rules 13a-14(a) and 15d-</w:t>
              </w:r>
            </w:hyperlink>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5"/>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14(a) under the Securities Exchange Act of 1934, as Adopted Pursuant to Section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900" w:type="dxa"/>
            <w:vAlign w:val="bottom"/>
            <w:gridSpan w:val="14"/>
          </w:tcPr>
          <w:p>
            <w:pPr>
              <w:spacing w:after="0" w:line="156" w:lineRule="exact"/>
              <w:rPr>
                <w:rFonts w:ascii="Arial" w:cs="Arial" w:eastAsia="Arial" w:hAnsi="Arial"/>
                <w:sz w:val="18"/>
                <w:szCs w:val="18"/>
                <w:color w:val="0000FF"/>
              </w:rPr>
            </w:pPr>
            <w:hyperlink w:anchor="page87">
              <w:r>
                <w:rPr>
                  <w:rFonts w:ascii="Arial" w:cs="Arial" w:eastAsia="Arial" w:hAnsi="Arial"/>
                  <w:sz w:val="18"/>
                  <w:szCs w:val="18"/>
                  <w:color w:val="0000FF"/>
                </w:rPr>
                <w:t>302 of the Sarbanes-Oxley Act of 2002.</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Borders>
              <w:right w:val="single" w:sz="8" w:color="0000EE"/>
            </w:tcBorders>
            <w:gridSpan w:val="6"/>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0"/>
        </w:trPr>
        <w:tc>
          <w:tcPr>
            <w:tcW w:w="94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5920" w:type="dxa"/>
            <w:vAlign w:val="bottom"/>
            <w:gridSpan w:val="15"/>
          </w:tcPr>
          <w:p>
            <w:pPr>
              <w:spacing w:after="0"/>
              <w:rPr>
                <w:rFonts w:ascii="Arial" w:cs="Arial" w:eastAsia="Arial" w:hAnsi="Arial"/>
                <w:sz w:val="18"/>
                <w:szCs w:val="18"/>
                <w:color w:val="0000FF"/>
                <w:w w:val="93"/>
              </w:rPr>
            </w:pPr>
            <w:hyperlink w:anchor="page88">
              <w:r>
                <w:rPr>
                  <w:rFonts w:ascii="Arial" w:cs="Arial" w:eastAsia="Arial" w:hAnsi="Arial"/>
                  <w:sz w:val="18"/>
                  <w:szCs w:val="18"/>
                  <w:color w:val="0000FF"/>
                  <w:w w:val="93"/>
                </w:rPr>
                <w:t>Certification of Principal Financial Officer Pursuant to Rules 13a-14(a) and 15d-</w:t>
              </w:r>
            </w:hyperlink>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6"/>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20" w:type="dxa"/>
            <w:vAlign w:val="bottom"/>
            <w:tcBorders>
              <w:top w:val="single" w:sz="8" w:color="0000FF"/>
            </w:tcBorders>
            <w:gridSpan w:val="11"/>
          </w:tcPr>
          <w:p>
            <w:pPr>
              <w:spacing w:after="0" w:line="156"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14(a) under the Securities Exchange Act of 1934, as Adopted Pursuant to Section</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9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88">
              <w:r>
                <w:rPr>
                  <w:rFonts w:ascii="Arial" w:cs="Arial" w:eastAsia="Arial" w:hAnsi="Arial"/>
                  <w:sz w:val="18"/>
                  <w:szCs w:val="18"/>
                  <w:color w:val="0000FF"/>
                </w:rPr>
                <w:t>302 of the Sarbanes-Oxley Act of 2002.</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Borders>
              <w:right w:val="single" w:sz="8" w:color="0000EE"/>
            </w:tcBorders>
            <w:gridSpan w:val="6"/>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0"/>
        </w:trPr>
        <w:tc>
          <w:tcPr>
            <w:tcW w:w="94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5920" w:type="dxa"/>
            <w:vAlign w:val="bottom"/>
            <w:gridSpan w:val="15"/>
          </w:tcPr>
          <w:p>
            <w:pPr>
              <w:spacing w:after="0"/>
              <w:rPr>
                <w:rFonts w:ascii="Arial" w:cs="Arial" w:eastAsia="Arial" w:hAnsi="Arial"/>
                <w:sz w:val="18"/>
                <w:szCs w:val="18"/>
                <w:color w:val="0000FF"/>
                <w:w w:val="94"/>
              </w:rPr>
            </w:pPr>
            <w:hyperlink w:anchor="page89">
              <w:r>
                <w:rPr>
                  <w:rFonts w:ascii="Arial" w:cs="Arial" w:eastAsia="Arial" w:hAnsi="Arial"/>
                  <w:sz w:val="18"/>
                  <w:szCs w:val="18"/>
                  <w:color w:val="0000FF"/>
                  <w:w w:val="94"/>
                </w:rPr>
                <w:t>Certification of Principal Executive Officer Pursuant to 18 U.S.C. Section 1350,</w:t>
              </w:r>
            </w:hyperlink>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6"/>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20" w:type="dxa"/>
            <w:vAlign w:val="bottom"/>
            <w:tcBorders>
              <w:top w:val="single" w:sz="8" w:color="0000FF"/>
              <w:bottom w:val="single" w:sz="8" w:color="0000EE"/>
            </w:tcBorders>
            <w:gridSpan w:val="9"/>
          </w:tcPr>
          <w:p>
            <w:pPr>
              <w:spacing w:after="0" w:line="156" w:lineRule="exact"/>
              <w:rPr>
                <w:rFonts w:ascii="Arial" w:cs="Arial" w:eastAsia="Arial" w:hAnsi="Arial"/>
                <w:sz w:val="18"/>
                <w:szCs w:val="18"/>
                <w:color w:val="0000FF"/>
                <w:w w:val="90"/>
              </w:rPr>
            </w:pPr>
            <w:hyperlink w:anchor="page89">
              <w:r>
                <w:rPr>
                  <w:rFonts w:ascii="Arial" w:cs="Arial" w:eastAsia="Arial" w:hAnsi="Arial"/>
                  <w:sz w:val="18"/>
                  <w:szCs w:val="18"/>
                  <w:color w:val="0000FF"/>
                  <w:w w:val="90"/>
                </w:rPr>
                <w:t>as Adopted Pursuant to Section 906 of the Sarbanes-Oxley Act of 2002.</w:t>
              </w:r>
            </w:hyperlink>
          </w:p>
        </w:tc>
        <w:tc>
          <w:tcPr>
            <w:tcW w:w="620" w:type="dxa"/>
            <w:vAlign w:val="bottom"/>
            <w:tcBorders>
              <w:top w:val="single" w:sz="8" w:color="0000FF"/>
            </w:tcBorders>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90"/>
        </w:trPr>
        <w:tc>
          <w:tcPr>
            <w:tcW w:w="94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5920" w:type="dxa"/>
            <w:vAlign w:val="bottom"/>
            <w:gridSpan w:val="15"/>
          </w:tcPr>
          <w:p>
            <w:pPr>
              <w:spacing w:after="0"/>
              <w:rPr>
                <w:rFonts w:ascii="Arial" w:cs="Arial" w:eastAsia="Arial" w:hAnsi="Arial"/>
                <w:sz w:val="18"/>
                <w:szCs w:val="18"/>
                <w:color w:val="0000FF"/>
                <w:w w:val="95"/>
              </w:rPr>
            </w:pPr>
            <w:hyperlink w:anchor="page90">
              <w:r>
                <w:rPr>
                  <w:rFonts w:ascii="Arial" w:cs="Arial" w:eastAsia="Arial" w:hAnsi="Arial"/>
                  <w:sz w:val="18"/>
                  <w:szCs w:val="18"/>
                  <w:color w:val="0000FF"/>
                  <w:w w:val="95"/>
                </w:rPr>
                <w:t>Certification of Principal Financial Officer Pursuant to 18 U.S.C. Section 1350,</w:t>
              </w:r>
            </w:hyperlink>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6"/>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20" w:type="dxa"/>
            <w:vAlign w:val="bottom"/>
            <w:tcBorders>
              <w:top w:val="single" w:sz="8" w:color="0000FF"/>
              <w:bottom w:val="single" w:sz="8" w:color="0000EE"/>
            </w:tcBorders>
            <w:gridSpan w:val="9"/>
          </w:tcPr>
          <w:p>
            <w:pPr>
              <w:spacing w:after="0" w:line="156" w:lineRule="exact"/>
              <w:rPr>
                <w:rFonts w:ascii="Arial" w:cs="Arial" w:eastAsia="Arial" w:hAnsi="Arial"/>
                <w:sz w:val="18"/>
                <w:szCs w:val="18"/>
                <w:color w:val="0000FF"/>
                <w:w w:val="90"/>
              </w:rPr>
            </w:pPr>
            <w:hyperlink w:anchor="page90">
              <w:r>
                <w:rPr>
                  <w:rFonts w:ascii="Arial" w:cs="Arial" w:eastAsia="Arial" w:hAnsi="Arial"/>
                  <w:sz w:val="18"/>
                  <w:szCs w:val="18"/>
                  <w:color w:val="0000FF"/>
                  <w:w w:val="90"/>
                </w:rPr>
                <w:t>as Adopted Pursuant to Section 906 of the Sarbanes-Oxley Act of 2002.</w:t>
              </w:r>
            </w:hyperlink>
          </w:p>
        </w:tc>
        <w:tc>
          <w:tcPr>
            <w:tcW w:w="560" w:type="dxa"/>
            <w:vAlign w:val="bottom"/>
            <w:tcBorders>
              <w:top w:val="single" w:sz="8" w:color="0000FF"/>
            </w:tcBorders>
          </w:tcPr>
          <w:p>
            <w:pPr>
              <w:spacing w:after="0"/>
              <w:rPr>
                <w:sz w:val="13"/>
                <w:szCs w:val="13"/>
                <w:color w:val="auto"/>
              </w:rPr>
            </w:pPr>
          </w:p>
        </w:tc>
        <w:tc>
          <w:tcPr>
            <w:tcW w:w="14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31"/>
        </w:trPr>
        <w:tc>
          <w:tcPr>
            <w:tcW w:w="94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auto"/>
              </w:rPr>
              <w:t>Inline XBRL Instance Document.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1"/>
        </w:trPr>
        <w:tc>
          <w:tcPr>
            <w:tcW w:w="94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0"/>
        </w:trPr>
        <w:tc>
          <w:tcPr>
            <w:tcW w:w="94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1"/>
        </w:trPr>
        <w:tc>
          <w:tcPr>
            <w:tcW w:w="94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0"/>
        </w:trPr>
        <w:tc>
          <w:tcPr>
            <w:tcW w:w="94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1"/>
        </w:trPr>
        <w:tc>
          <w:tcPr>
            <w:tcW w:w="94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80" w:lineRule="exact"/>
        <w:rPr>
          <w:sz w:val="20"/>
          <w:szCs w:val="20"/>
          <w:color w:val="auto"/>
        </w:rPr>
      </w:pPr>
    </w:p>
    <w:p>
      <w:pPr>
        <w:ind w:left="1080" w:right="3480" w:hanging="1059"/>
        <w:spacing w:after="0" w:line="180" w:lineRule="auto"/>
        <w:tabs>
          <w:tab w:leader="none" w:pos="1080" w:val="left"/>
        </w:tabs>
        <w:numPr>
          <w:ilvl w:val="0"/>
          <w:numId w:val="54"/>
        </w:numPr>
        <w:rPr>
          <w:rFonts w:ascii="Arial" w:cs="Arial" w:eastAsia="Arial" w:hAnsi="Arial"/>
          <w:sz w:val="31"/>
          <w:szCs w:val="31"/>
          <w:color w:val="auto"/>
          <w:vertAlign w:val="subscript"/>
        </w:rPr>
      </w:pPr>
      <w:r>
        <w:rPr>
          <w:rFonts w:ascii="Arial" w:cs="Arial" w:eastAsia="Arial" w:hAnsi="Arial"/>
          <w:sz w:val="16"/>
          <w:szCs w:val="16"/>
          <w:color w:val="auto"/>
        </w:rPr>
        <w:t>The cover page from the Company’s Quarterly Report on Form 10-Q for the quarter ended June 30, 2022 has been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firstLine="8"/>
        <w:spacing w:after="0" w:line="342" w:lineRule="auto"/>
        <w:rPr>
          <w:sz w:val="20"/>
          <w:szCs w:val="20"/>
          <w:color w:val="auto"/>
        </w:rPr>
      </w:pPr>
      <w:r>
        <w:rPr>
          <w:rFonts w:ascii="Arial" w:cs="Arial" w:eastAsia="Arial" w:hAnsi="Arial"/>
          <w:sz w:val="12"/>
          <w:szCs w:val="12"/>
          <w:b w:val="1"/>
          <w:bCs w:val="1"/>
          <w:color w:val="auto"/>
        </w:rPr>
        <w:t>Provided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-37465</wp:posOffset>
            </wp:positionV>
            <wp:extent cx="6686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317" w:lineRule="exact"/>
        <w:rPr>
          <w:sz w:val="20"/>
          <w:szCs w:val="20"/>
          <w:color w:val="auto"/>
        </w:rPr>
      </w:pPr>
    </w:p>
    <w:p>
      <w:pPr>
        <w:sectPr>
          <w:pgSz w:w="11900" w:h="16838" w:orient="portrait"/>
          <w:cols w:equalWidth="0" w:num="2">
            <w:col w:w="10060" w:space="440"/>
            <w:col w:w="560"/>
          </w:cols>
          <w:pgMar w:left="320" w:top="324" w:right="519" w:bottom="1440" w:gutter="0" w:footer="0" w:header="0"/>
        </w:sectPr>
      </w:pPr>
    </w:p>
    <w:p>
      <w:pPr>
        <w:spacing w:after="0" w:line="259" w:lineRule="exact"/>
        <w:rPr>
          <w:sz w:val="20"/>
          <w:szCs w:val="20"/>
          <w:color w:val="auto"/>
        </w:rPr>
      </w:pPr>
    </w:p>
    <w:p>
      <w:pPr>
        <w:jc w:val="both"/>
        <w:ind w:right="100" w:firstLine="8"/>
        <w:spacing w:after="0" w:line="243" w:lineRule="auto"/>
        <w:tabs>
          <w:tab w:leader="none" w:pos="1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type w:val="continuous"/>
        </w:sectPr>
      </w:pPr>
    </w:p>
    <w:bookmarkStart w:id="85" w:name="page86"/>
    <w:bookmarkEnd w:id="85"/>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ALIGOS THERAPEUTICS, INC.</w:t>
      </w:r>
    </w:p>
    <w:p>
      <w:pPr>
        <w:spacing w:after="0" w:line="212" w:lineRule="exact"/>
        <w:rPr>
          <w:sz w:val="20"/>
          <w:szCs w:val="20"/>
          <w:color w:val="auto"/>
        </w:rPr>
      </w:pPr>
    </w:p>
    <w:p>
      <w:pPr>
        <w:ind w:left="20"/>
        <w:spacing w:after="0"/>
        <w:tabs>
          <w:tab w:leader="none" w:pos="5600" w:val="left"/>
          <w:tab w:leader="none" w:pos="794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6350</wp:posOffset>
            </wp:positionV>
            <wp:extent cx="33261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Lawrence Blatt</w:t>
      </w:r>
    </w:p>
    <w:p>
      <w:pPr>
        <w:jc w:val="center"/>
        <w:ind w:left="61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4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460" w:type="dxa"/>
            <w:vAlign w:val="bottom"/>
          </w:tcPr>
          <w:p>
            <w:pPr>
              <w:jc w:val="right"/>
              <w:ind w:right="3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/s/ Lesley Ann Calhoun</w:t>
            </w:r>
          </w:p>
        </w:tc>
      </w:tr>
      <w:tr>
        <w:trPr>
          <w:trHeight w:val="178"/>
        </w:trPr>
        <w:tc>
          <w:tcPr>
            <w:tcW w:w="35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40" w:type="dxa"/>
            <w:vAlign w:val="bottom"/>
          </w:tcPr>
          <w:p>
            <w:pPr>
              <w:ind w:left="1900"/>
              <w:spacing w:after="0" w:line="177" w:lineRule="exact"/>
              <w:rPr>
                <w:sz w:val="20"/>
                <w:szCs w:val="20"/>
                <w:color w:val="auto"/>
              </w:rPr>
            </w:pPr>
            <w:r>
              <w:rPr>
                <w:rFonts w:ascii="Arial" w:cs="Arial" w:eastAsia="Arial" w:hAnsi="Arial"/>
                <w:sz w:val="18"/>
                <w:szCs w:val="18"/>
                <w:b w:val="1"/>
                <w:bCs w:val="1"/>
                <w:color w:val="auto"/>
              </w:rPr>
              <w:t>Lesley Ann Calhoun</w:t>
            </w:r>
          </w:p>
        </w:tc>
      </w:tr>
      <w:tr>
        <w:trPr>
          <w:trHeight w:val="234"/>
        </w:trPr>
        <w:tc>
          <w:tcPr>
            <w:tcW w:w="3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1780"/>
              <w:spacing w:after="0"/>
              <w:rPr>
                <w:sz w:val="20"/>
                <w:szCs w:val="20"/>
                <w:color w:val="auto"/>
              </w:rPr>
            </w:pPr>
            <w:r>
              <w:rPr>
                <w:rFonts w:ascii="Arial" w:cs="Arial" w:eastAsia="Arial" w:hAnsi="Arial"/>
                <w:sz w:val="18"/>
                <w:szCs w:val="18"/>
                <w:b w:val="1"/>
                <w:bCs w:val="1"/>
                <w:color w:val="auto"/>
              </w:rPr>
              <w:t>Chief Financial Officer</w:t>
            </w:r>
          </w:p>
        </w:tc>
      </w:tr>
      <w:tr>
        <w:trPr>
          <w:trHeight w:val="621"/>
        </w:trPr>
        <w:tc>
          <w:tcPr>
            <w:tcW w:w="3540" w:type="dxa"/>
            <w:vAlign w:val="bottom"/>
          </w:tcPr>
          <w:p>
            <w:pPr>
              <w:spacing w:after="0"/>
              <w:rPr>
                <w:sz w:val="24"/>
                <w:szCs w:val="24"/>
                <w:color w:val="auto"/>
              </w:rPr>
            </w:pPr>
          </w:p>
        </w:tc>
        <w:tc>
          <w:tcPr>
            <w:tcW w:w="2460" w:type="dxa"/>
            <w:vAlign w:val="bottom"/>
          </w:tcPr>
          <w:p>
            <w:pPr>
              <w:jc w:val="right"/>
              <w:ind w:right="190"/>
              <w:spacing w:after="0"/>
              <w:rPr>
                <w:sz w:val="20"/>
                <w:szCs w:val="20"/>
                <w:color w:val="auto"/>
              </w:rPr>
            </w:pPr>
            <w:r>
              <w:rPr>
                <w:rFonts w:ascii="Arial" w:cs="Arial" w:eastAsia="Arial" w:hAnsi="Arial"/>
                <w:sz w:val="18"/>
                <w:szCs w:val="18"/>
                <w:color w:val="auto"/>
              </w:rPr>
              <w:t>81</w:t>
            </w:r>
          </w:p>
        </w:tc>
        <w:tc>
          <w:tcPr>
            <w:tcW w:w="5240" w:type="dxa"/>
            <w:vAlign w:val="bottom"/>
          </w:tcPr>
          <w:p>
            <w:pPr>
              <w:spacing w:after="0"/>
              <w:rPr>
                <w:sz w:val="24"/>
                <w:szCs w:val="24"/>
                <w:color w:val="auto"/>
              </w:rPr>
            </w:pPr>
          </w:p>
        </w:tc>
      </w:tr>
      <w:tr>
        <w:trPr>
          <w:trHeight w:val="102"/>
        </w:trPr>
        <w:tc>
          <w:tcPr>
            <w:tcW w:w="3540" w:type="dxa"/>
            <w:vAlign w:val="bottom"/>
            <w:tcBorders>
              <w:bottom w:val="single" w:sz="8" w:color="9A9A9A"/>
            </w:tcBorders>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5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Lawrence Blatt, certify that:</w:t>
      </w:r>
    </w:p>
    <w:p>
      <w:pPr>
        <w:spacing w:after="0" w:line="104"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Aligos Therapeutics, Inc.;</w:t>
      </w:r>
    </w:p>
    <w:p>
      <w:pPr>
        <w:spacing w:after="0" w:line="103" w:lineRule="exact"/>
        <w:rPr>
          <w:rFonts w:ascii="Arial" w:cs="Arial" w:eastAsia="Arial" w:hAnsi="Arial"/>
          <w:sz w:val="18"/>
          <w:szCs w:val="18"/>
          <w:color w:val="auto"/>
        </w:rPr>
      </w:pPr>
    </w:p>
    <w:p>
      <w:pPr>
        <w:jc w:val="both"/>
        <w:ind w:left="520" w:right="220" w:hanging="512"/>
        <w:spacing w:after="0" w:line="248"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180" w:hanging="512"/>
        <w:spacing w:after="0" w:line="291" w:lineRule="auto"/>
        <w:tabs>
          <w:tab w:leader="none" w:pos="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20" w:hanging="512"/>
        <w:spacing w:after="0" w:line="248"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40" w:hanging="504"/>
        <w:spacing w:after="0" w:line="248"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160" w:hanging="504"/>
        <w:spacing w:after="0" w:line="248"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320" w:hanging="504"/>
        <w:spacing w:after="0" w:line="324" w:lineRule="auto"/>
        <w:tabs>
          <w:tab w:leader="none" w:pos="11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140" w:right="40" w:hanging="504"/>
        <w:spacing w:after="0" w:line="248"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80" w:hanging="512"/>
        <w:spacing w:after="0" w:line="324" w:lineRule="auto"/>
        <w:tabs>
          <w:tab w:leader="none" w:pos="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140" w:right="580" w:hanging="504"/>
        <w:spacing w:after="0" w:line="324" w:lineRule="auto"/>
        <w:tabs>
          <w:tab w:leader="none" w:pos="11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140" w:right="260" w:hanging="504"/>
        <w:spacing w:after="0" w:line="261"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640" w:val="left"/>
          <w:tab w:leader="none" w:pos="79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Lawrence Blatt</w:t>
      </w:r>
    </w:p>
    <w:p>
      <w:pPr>
        <w:jc w:val="center"/>
        <w:ind w:left="59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Lesley Ann Calhoun, certify that:</w:t>
      </w:r>
    </w:p>
    <w:p>
      <w:pPr>
        <w:spacing w:after="0" w:line="104"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Aligos Therapeutics, Inc.;</w:t>
      </w:r>
    </w:p>
    <w:p>
      <w:pPr>
        <w:spacing w:after="0" w:line="103" w:lineRule="exact"/>
        <w:rPr>
          <w:rFonts w:ascii="Arial" w:cs="Arial" w:eastAsia="Arial" w:hAnsi="Arial"/>
          <w:sz w:val="18"/>
          <w:szCs w:val="18"/>
          <w:color w:val="auto"/>
        </w:rPr>
      </w:pPr>
    </w:p>
    <w:p>
      <w:pPr>
        <w:jc w:val="both"/>
        <w:ind w:left="520" w:right="220" w:hanging="512"/>
        <w:spacing w:after="0" w:line="248"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180" w:hanging="512"/>
        <w:spacing w:after="0" w:line="291" w:lineRule="auto"/>
        <w:tabs>
          <w:tab w:leader="none" w:pos="5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20" w:hanging="512"/>
        <w:spacing w:after="0" w:line="248"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40" w:hanging="504"/>
        <w:spacing w:after="0" w:line="248"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160" w:hanging="504"/>
        <w:spacing w:after="0" w:line="248"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320" w:hanging="504"/>
        <w:spacing w:after="0" w:line="324" w:lineRule="auto"/>
        <w:tabs>
          <w:tab w:leader="none" w:pos="11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140" w:right="40" w:hanging="504"/>
        <w:spacing w:after="0" w:line="248"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80" w:hanging="512"/>
        <w:spacing w:after="0" w:line="324" w:lineRule="auto"/>
        <w:tabs>
          <w:tab w:leader="none" w:pos="5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140" w:right="580" w:hanging="504"/>
        <w:spacing w:after="0" w:line="324" w:lineRule="auto"/>
        <w:tabs>
          <w:tab w:leader="none" w:pos="11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140" w:right="260" w:hanging="504"/>
        <w:spacing w:after="0" w:line="261"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640" w:val="left"/>
          <w:tab w:leader="none" w:pos="77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Lesley Ann Calhoun</w:t>
      </w:r>
    </w:p>
    <w:p>
      <w:pPr>
        <w:jc w:val="center"/>
        <w:ind w:left="59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8" w:name="page89"/>
    <w:bookmarkEnd w:id="88"/>
    <w:p>
      <w:pPr>
        <w:ind w:left="10260"/>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18 U.S.C. SECTION 1350, AS ADOPTED PURSUANT TO</w:t>
      </w:r>
    </w:p>
    <w:p>
      <w:pPr>
        <w:ind w:left="32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Quarterly Report of Aligos Therapeutics, Inc.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74" w:lineRule="exact"/>
        <w:rPr>
          <w:sz w:val="20"/>
          <w:szCs w:val="20"/>
          <w:color w:val="auto"/>
        </w:rPr>
      </w:pPr>
    </w:p>
    <w:p>
      <w:pPr>
        <w:ind w:left="1140" w:hanging="504"/>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140" w:right="500" w:hanging="504"/>
        <w:spacing w:after="0" w:line="261"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p>
      <w:pPr>
        <w:ind w:left="20"/>
        <w:spacing w:after="0"/>
        <w:tabs>
          <w:tab w:leader="none" w:pos="5920" w:val="left"/>
          <w:tab w:leader="none" w:pos="808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6350</wp:posOffset>
            </wp:positionV>
            <wp:extent cx="31457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Lawrence Blatt</w:t>
      </w:r>
    </w:p>
    <w:p>
      <w:pPr>
        <w:jc w:val="center"/>
        <w:ind w:left="622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9" w:name="page90"/>
    <w:bookmarkEnd w:id="89"/>
    <w:p>
      <w:pPr>
        <w:ind w:left="10260"/>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18 U.S.C. SECTION 1350, AS ADOPTED PURSUANT TO</w:t>
      </w:r>
    </w:p>
    <w:p>
      <w:pPr>
        <w:ind w:left="32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Quarterly Report of Aligos Therapeutics, Inc.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74" w:lineRule="exact"/>
        <w:rPr>
          <w:sz w:val="20"/>
          <w:szCs w:val="20"/>
          <w:color w:val="auto"/>
        </w:rPr>
      </w:pPr>
    </w:p>
    <w:p>
      <w:pPr>
        <w:ind w:left="1140" w:hanging="504"/>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140" w:right="500" w:hanging="504"/>
        <w:spacing w:after="0" w:line="261"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p>
      <w:pPr>
        <w:ind w:left="20"/>
        <w:spacing w:after="0"/>
        <w:tabs>
          <w:tab w:leader="none" w:pos="5920" w:val="left"/>
          <w:tab w:leader="none" w:pos="79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6350</wp:posOffset>
            </wp:positionV>
            <wp:extent cx="31457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Lesley Ann Calhoun</w:t>
      </w:r>
    </w:p>
    <w:p>
      <w:pPr>
        <w:jc w:val="center"/>
        <w:ind w:left="62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2"/>
    </w:lvl>
  </w:abstractNum>
  <w:abstractNum w:abstractNumId="5">
    <w:nsid w:val="22221A70"/>
    <w:multiLevelType w:val="hybridMultilevel"/>
    <w:lvl w:ilvl="0">
      <w:lvlJc w:val="left"/>
      <w:lvlText w:val="%1."/>
      <w:numFmt w:val="decimal"/>
      <w:start w:val="3"/>
    </w:lvl>
  </w:abstractNum>
  <w:abstractNum w:abstractNumId="6">
    <w:nsid w:val="4516DDE9"/>
    <w:multiLevelType w:val="hybridMultilevel"/>
    <w:lvl w:ilvl="0">
      <w:lvlJc w:val="left"/>
      <w:lvlText w:val="%1."/>
      <w:numFmt w:val="decimal"/>
      <w:start w:val="4"/>
    </w:lvl>
  </w:abstractNum>
  <w:abstractNum w:abstractNumId="7">
    <w:nsid w:val="3006C83E"/>
    <w:multiLevelType w:val="hybridMultilevel"/>
    <w:lvl w:ilvl="0">
      <w:lvlJc w:val="left"/>
      <w:lvlText w:val="%1."/>
      <w:numFmt w:val="decimal"/>
      <w:start w:val="5"/>
    </w:lvl>
  </w:abstractNum>
  <w:abstractNum w:abstractNumId="8">
    <w:nsid w:val="614FD4A1"/>
    <w:multiLevelType w:val="hybridMultilevel"/>
    <w:lvl w:ilvl="0">
      <w:lvlJc w:val="left"/>
      <w:lvlText w:val="%1."/>
      <w:numFmt w:val="decimal"/>
      <w:start w:val="6"/>
    </w:lvl>
  </w:abstractNum>
  <w:abstractNum w:abstractNumId="9">
    <w:nsid w:val="419AC241"/>
    <w:multiLevelType w:val="hybridMultilevel"/>
    <w:lvl w:ilvl="0">
      <w:lvlJc w:val="left"/>
      <w:lvlText w:val="%1."/>
      <w:numFmt w:val="decimal"/>
      <w:start w:val="7"/>
    </w:lvl>
  </w:abstractNum>
  <w:abstractNum w:abstractNumId="10">
    <w:nsid w:val="5577F8E1"/>
    <w:multiLevelType w:val="hybridMultilevel"/>
    <w:lvl w:ilvl="0">
      <w:lvlJc w:val="left"/>
      <w:lvlText w:val="%1."/>
      <w:numFmt w:val="decimal"/>
      <w:start w:val="8"/>
    </w:lvl>
  </w:abstractNum>
  <w:abstractNum w:abstractNumId="11">
    <w:nsid w:val="440BADFC"/>
    <w:multiLevelType w:val="hybridMultilevel"/>
    <w:lvl w:ilvl="0">
      <w:lvlJc w:val="left"/>
      <w:lvlText w:val="%1."/>
      <w:numFmt w:val="decimal"/>
      <w:start w:val="9"/>
    </w:lvl>
  </w:abstractNum>
  <w:abstractNum w:abstractNumId="12">
    <w:nsid w:val="5072367"/>
    <w:multiLevelType w:val="hybridMultilevel"/>
    <w:lvl w:ilvl="0">
      <w:lvlJc w:val="left"/>
      <w:lvlText w:val="%1."/>
      <w:numFmt w:val="decimal"/>
      <w:start w:val="10"/>
    </w:lvl>
  </w:abstractNum>
  <w:abstractNum w:abstractNumId="13">
    <w:nsid w:val="3804823E"/>
    <w:multiLevelType w:val="hybridMultilevel"/>
    <w:lvl w:ilvl="0">
      <w:lvlJc w:val="left"/>
      <w:lvlText w:val="%1."/>
      <w:numFmt w:val="decimal"/>
      <w:start w:val="11"/>
    </w:lvl>
  </w:abstractNum>
  <w:abstractNum w:abstractNumId="14">
    <w:nsid w:val="77465F01"/>
    <w:multiLevelType w:val="hybridMultilevel"/>
    <w:lvl w:ilvl="0">
      <w:lvlJc w:val="left"/>
      <w:lvlText w:val="%1."/>
      <w:numFmt w:val="decimal"/>
      <w:start w:val="12"/>
    </w:lvl>
  </w:abstractNum>
  <w:abstractNum w:abstractNumId="15">
    <w:nsid w:val="7724C67E"/>
    <w:multiLevelType w:val="hybridMultilevel"/>
    <w:lvl w:ilvl="0">
      <w:lvlJc w:val="left"/>
      <w:lvlText w:val="%1."/>
      <w:numFmt w:val="decimal"/>
      <w:start w:val="13"/>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decimal"/>
      <w:start w:val="104"/>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29" Type="http://schemas.openxmlformats.org/officeDocument/2006/relationships/hyperlink" Target="https://www.sec.gov/Archives/edgar/data/1799448/000119312520272852/d46540dex31.htm" TargetMode="External"/><Relationship Id="rId230" Type="http://schemas.openxmlformats.org/officeDocument/2006/relationships/hyperlink" Target="https://www.sec.gov/Archives/edgar/data/1799448/000119312520272852/d46540dex32.htm" TargetMode="External"/><Relationship Id="rId231" Type="http://schemas.openxmlformats.org/officeDocument/2006/relationships/hyperlink" Target="https://www.sec.gov/Archives/edgar/data/1799448/000119312520267346/d3140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2022-08-04T16:13:32Z</dcterms:created>
  <dcterms:modified xsi:type="dcterms:W3CDTF">2022-08-04T16:13:32Z</dcterms:modified>
</cp:coreProperties>
</file>