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lgs-20240930.htm"/>
      <w:bookmarkStart w:id="1" w:name="ksalgs20240930"/>
      <w:bookmarkEnd w:id="0"/>
      <w:bookmarkEnd w:id="1"/>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Number: 001-39617</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7"/>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97" w:type="dxa"/>
        <w:jc w:val="left"/>
        <w:tblInd w:w="0" w:type="dxa"/>
        <w:tblLayout w:type="fixed"/>
        <w:tblCellMar>
          <w:top w:w="28" w:type="dxa"/>
          <w:left w:w="28" w:type="dxa"/>
          <w:bottom w:w="28" w:type="dxa"/>
          <w:right w:w="28" w:type="dxa"/>
        </w:tblCellMar>
      </w:tblPr>
      <w:tblGrid>
        <w:gridCol w:w="2851"/>
        <w:gridCol w:w="1246"/>
      </w:tblGrid>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82-4724808</w:t>
            </w:r>
          </w:p>
        </w:tc>
      </w:tr>
      <w:tr>
        <w:trPr/>
        <w:tc>
          <w:tcPr>
            <w:tcW w:w="285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Corporate Drive, 2nd 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(800) 466-6059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230" w:type="dxa"/>
        <w:jc w:val="left"/>
        <w:tblInd w:w="0" w:type="dxa"/>
        <w:tblLayout w:type="fixed"/>
        <w:tblCellMar>
          <w:top w:w="28" w:type="dxa"/>
          <w:left w:w="28" w:type="dxa"/>
          <w:bottom w:w="28" w:type="dxa"/>
          <w:right w:w="28" w:type="dxa"/>
        </w:tblCellMar>
      </w:tblPr>
      <w:tblGrid>
        <w:gridCol w:w="3916"/>
        <w:gridCol w:w="146"/>
        <w:gridCol w:w="1231"/>
        <w:gridCol w:w="146"/>
        <w:gridCol w:w="2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w:t>
            </w:r>
            <w:r>
              <w:rPr>
                <w:rFonts w:ascii="Times New Roman" w:hAnsi="Times New Roman"/>
                <w:color w:val="000000"/>
                <w:sz w:val="14"/>
              </w:rPr>
              <w:t xml:space="preserve"> </w:t>
            </w: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39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vAlign w:val="center"/>
          </w:tcPr>
          <w:p>
            <w:pPr>
              <w:pStyle w:val="TableContents"/>
              <w:bidi w:val="0"/>
              <w:spacing w:before="0" w:after="283"/>
              <w:jc w:val="center"/>
              <w:rPr/>
            </w:pPr>
            <w:r>
              <w:rPr/>
              <w:t> </w:t>
            </w:r>
          </w:p>
        </w:tc>
        <w:tc>
          <w:tcPr>
            <w:tcW w:w="1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ALGS</w:t>
            </w:r>
          </w:p>
        </w:tc>
        <w:tc>
          <w:tcPr>
            <w:tcW w:w="146" w:type="dxa"/>
            <w:tcBorders/>
            <w:vAlign w:val="center"/>
          </w:tcPr>
          <w:p>
            <w:pPr>
              <w:pStyle w:val="TableContents"/>
              <w:bidi w:val="0"/>
              <w:spacing w:before="0" w:after="283"/>
              <w:jc w:val="center"/>
              <w:rPr/>
            </w:pPr>
            <w:r>
              <w:rPr/>
              <w:t> </w:t>
            </w:r>
          </w:p>
        </w:tc>
        <w:tc>
          <w:tcPr>
            <w:tcW w:w="279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The Nasdaq Stock Market LLC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56" w:type="dxa"/>
        <w:jc w:val="left"/>
        <w:tblInd w:w="0" w:type="dxa"/>
        <w:tblLayout w:type="fixed"/>
        <w:tblCellMar>
          <w:top w:w="28" w:type="dxa"/>
          <w:left w:w="28" w:type="dxa"/>
          <w:bottom w:w="28" w:type="dxa"/>
          <w:right w:w="28" w:type="dxa"/>
        </w:tblCellMar>
      </w:tblPr>
      <w:tblGrid>
        <w:gridCol w:w="1921"/>
        <w:gridCol w:w="146"/>
        <w:gridCol w:w="316"/>
        <w:gridCol w:w="146"/>
        <w:gridCol w:w="109"/>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color w:val="000000"/>
              </w:rPr>
            </w:pPr>
            <w:r>
              <w:rPr>
                <w:color w:val="000000"/>
              </w:rPr>
              <w:t>☐</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color w:val="000000"/>
              </w:rPr>
            </w:pPr>
            <w:r>
              <w:rPr>
                <w:color w:val="000000"/>
              </w:rPr>
              <w:t>☒</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November 4, 2024, the registrant had 3,587,892 shares of common stock, $0.0001 par value per share, outstanding, comprised of 3,464,199 shares of voting common stock, $0.0001 par value per share and 123,693 shares of non-voting common stock, $0.0001 par value per share. </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our drug candidates or any other future drug candidates, and conducting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related to the research and development of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costs involved in, obtaining and maintaining regulatory approval for any of our current or future drug candidates, and any related restrictions or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market size and size of the potential patient populations for our drug candidates and any future drug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collaborations, licensing or other arrangements and the financial terms of any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drug candidates, as well as the pricing and reimbursement of our drug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drug candidates and technology, including additional indications for which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including the projected term of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future revenue, capital requirements, our needs for additional financing and our ability to obtain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 including competing therapies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legal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third-party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obligation to publicly update or revise any forward-looking statements contained herein for any reason after the date of this report to conform these statements to new information, actual results or changes in our expectations, except as required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Investors and others should note that we may announce material business and financial information to our investors using our investor relations website, Securities and Exchange Commission (the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generated revenue from product sales and may never be profitable for a full fiscal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the continued listing requirements of the Nasdaq Stock Market LLC (Nasdaq) our common stock may be delisted and the price of our common stock and our ability to access the capital markets could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35"/>
        <w:gridCol w:w="8729"/>
        <w:gridCol w:w="541"/>
      </w:tblGrid>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35" w:type="dxa"/>
            <w:tcBorders/>
            <w:vAlign w:val="center"/>
          </w:tcPr>
          <w:p>
            <w:pPr>
              <w:pStyle w:val="TableContents"/>
              <w:pBdr/>
              <w:bidi w:val="0"/>
              <w:spacing w:before="0" w:after="283"/>
              <w:ind w:left="0" w:right="0" w:hanging="24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w:t>
            </w:r>
          </w:p>
        </w:tc>
        <w:tc>
          <w:tcPr>
            <w:tcW w:w="8729" w:type="dxa"/>
            <w:tcBorders/>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729" w:type="dxa"/>
            <w:tcBorders/>
            <w:vAlign w:val="center"/>
          </w:tcPr>
          <w:p>
            <w:pPr>
              <w:pStyle w:val="TableContents"/>
              <w:pBdr/>
              <w:bidi w:val="0"/>
              <w:spacing w:before="0" w:after="283"/>
              <w:ind w:left="0" w:right="0" w:hanging="240"/>
              <w:jc w:val="left"/>
              <w:rPr/>
            </w:pPr>
            <w:hyperlink w:anchor="item_1_financial_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29" w:type="dxa"/>
            <w:tcBorders/>
            <w:vAlign w:val="center"/>
          </w:tcPr>
          <w:p>
            <w:pPr>
              <w:pStyle w:val="TableContents"/>
              <w:pBdr/>
              <w:bidi w:val="0"/>
              <w:spacing w:before="0" w:after="283"/>
              <w:ind w:left="0" w:right="0" w:hanging="240"/>
              <w:jc w:val="left"/>
              <w:rPr/>
            </w:pPr>
            <w:hyperlink w:anchor="condensed_consolidated_balance_sheets">
              <w:r>
                <w:rPr>
                  <w:rStyle w:val="InternetLink"/>
                  <w:rFonts w:ascii="Times New Roman" w:hAnsi="Times New Roman"/>
                  <w:color w:val="0000FF"/>
                  <w:sz w:val="20"/>
                  <w:u w:val="single"/>
                </w:rPr>
                <w:t>Condensed Consolidated Balance Sheets as of September 30, 2024 and December 31, 2023</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29" w:type="dxa"/>
            <w:tcBorders/>
            <w:vAlign w:val="center"/>
          </w:tcPr>
          <w:p>
            <w:pPr>
              <w:pStyle w:val="TableContents"/>
              <w:pBdr/>
              <w:bidi w:val="0"/>
              <w:spacing w:before="0" w:after="283"/>
              <w:ind w:left="0" w:right="0" w:hanging="24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Income (Loss) for the Three and Nine Months Ended September 30, 2024 and 2023</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29" w:type="dxa"/>
            <w:tcBorders/>
            <w:vAlign w:val="center"/>
          </w:tcPr>
          <w:p>
            <w:pPr>
              <w:pStyle w:val="TableContents"/>
              <w:pBdr/>
              <w:bidi w:val="0"/>
              <w:spacing w:before="0" w:after="283"/>
              <w:ind w:left="0" w:right="0" w:hanging="240"/>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Nine Months Ended September 30, 2024 and 2023</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29" w:type="dxa"/>
            <w:tcBorders/>
            <w:vAlign w:val="center"/>
          </w:tcPr>
          <w:p>
            <w:pPr>
              <w:pStyle w:val="TableContents"/>
              <w:pBdr/>
              <w:bidi w:val="0"/>
              <w:spacing w:before="0" w:after="283"/>
              <w:ind w:left="0" w:right="0" w:hanging="240"/>
              <w:jc w:val="left"/>
              <w:rPr/>
            </w:pPr>
            <w:hyperlink w:anchor="condensed_consolidated_statements">
              <w:r>
                <w:rPr>
                  <w:rStyle w:val="InternetLink"/>
                  <w:rFonts w:ascii="Times New Roman" w:hAnsi="Times New Roman"/>
                  <w:color w:val="0000FF"/>
                  <w:sz w:val="20"/>
                  <w:u w:val="single"/>
                </w:rPr>
                <w:t>Condensed Consolidated Statements of Cash Flows for the Nine Months Ended September 30, 2024 and 2023</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29" w:type="dxa"/>
            <w:tcBorders/>
            <w:vAlign w:val="center"/>
          </w:tcPr>
          <w:p>
            <w:pPr>
              <w:pStyle w:val="TableContents"/>
              <w:pBdr/>
              <w:bidi w:val="0"/>
              <w:spacing w:before="0" w:after="283"/>
              <w:ind w:left="0" w:right="0" w:hanging="24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729" w:type="dxa"/>
            <w:tcBorders/>
            <w:vAlign w:val="center"/>
          </w:tcPr>
          <w:p>
            <w:pPr>
              <w:pStyle w:val="TableContents"/>
              <w:pBdr/>
              <w:bidi w:val="0"/>
              <w:spacing w:before="0" w:after="283"/>
              <w:ind w:left="0" w:right="0" w:hanging="240"/>
              <w:jc w:val="left"/>
              <w:rPr/>
            </w:pPr>
            <w:hyperlink w:anchor="itm2">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729"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729" w:type="dxa"/>
            <w:tcBorders/>
            <w:vAlign w:val="center"/>
          </w:tcPr>
          <w:p>
            <w:pPr>
              <w:pStyle w:val="TableContents"/>
              <w:pBdr/>
              <w:bidi w:val="0"/>
              <w:spacing w:before="0" w:after="283"/>
              <w:ind w:left="0" w:right="0" w:hanging="240"/>
              <w:jc w:val="left"/>
              <w:rPr/>
            </w:pPr>
            <w:hyperlink w:anchor="item_4_controls_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240"/>
              <w:jc w:val="right"/>
              <w:rPr/>
            </w:pPr>
            <w:r>
              <w:rPr/>
              <w:t> </w:t>
            </w:r>
          </w:p>
        </w:tc>
      </w:tr>
      <w:tr>
        <w:trPr/>
        <w:tc>
          <w:tcPr>
            <w:tcW w:w="935" w:type="dxa"/>
            <w:tcBorders/>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PART II.</w:t>
            </w:r>
          </w:p>
        </w:tc>
        <w:tc>
          <w:tcPr>
            <w:tcW w:w="8729" w:type="dxa"/>
            <w:tcBorders/>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729"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729" w:type="dxa"/>
            <w:tcBorders/>
            <w:vAlign w:val="center"/>
          </w:tcPr>
          <w:p>
            <w:pPr>
              <w:pStyle w:val="TableContents"/>
              <w:pBdr/>
              <w:bidi w:val="0"/>
              <w:spacing w:before="0" w:after="283"/>
              <w:ind w:left="0" w:right="0" w:hanging="240"/>
              <w:jc w:val="left"/>
              <w:rPr/>
            </w:pPr>
            <w:hyperlink w:anchor="item_1a_risk_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31</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729"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729"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729"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729" w:type="dxa"/>
            <w:tcBorders/>
            <w:vAlign w:val="center"/>
          </w:tcPr>
          <w:p>
            <w:pPr>
              <w:pStyle w:val="TableContents"/>
              <w:pBdr/>
              <w:bidi w:val="0"/>
              <w:spacing w:before="0" w:after="283"/>
              <w:ind w:left="0" w:right="0" w:hanging="240"/>
              <w:jc w:val="left"/>
              <w:rPr/>
            </w:pPr>
            <w:hyperlink w:anchor="item_5_or_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35"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729" w:type="dxa"/>
            <w:tcBorders/>
            <w:vAlign w:val="center"/>
          </w:tcPr>
          <w:p>
            <w:pPr>
              <w:pStyle w:val="TableContents"/>
              <w:pBdr/>
              <w:bidi w:val="0"/>
              <w:spacing w:before="0" w:after="283"/>
              <w:ind w:left="0" w:right="0" w:hanging="240"/>
              <w:jc w:val="left"/>
              <w:rPr/>
            </w:pPr>
            <w:hyperlink w:anchor="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86</w:t>
            </w:r>
          </w:p>
        </w:tc>
      </w:tr>
      <w:tr>
        <w:trPr/>
        <w:tc>
          <w:tcPr>
            <w:tcW w:w="9664" w:type="dxa"/>
            <w:gridSpan w:val="2"/>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right"/>
              <w:rPr/>
            </w:pPr>
            <w:r>
              <w:rPr/>
              <w:t> </w:t>
            </w:r>
          </w:p>
        </w:tc>
      </w:tr>
      <w:tr>
        <w:trPr/>
        <w:tc>
          <w:tcPr>
            <w:tcW w:w="9664" w:type="dxa"/>
            <w:gridSpan w:val="2"/>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5"/>
        <w:gridCol w:w="859"/>
        <w:gridCol w:w="166"/>
        <w:gridCol w:w="146"/>
        <w:gridCol w:w="213"/>
        <w:gridCol w:w="849"/>
        <w:gridCol w:w="593"/>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w:t>
            </w:r>
          </w:p>
        </w:tc>
        <w:tc>
          <w:tcPr>
            <w:tcW w:w="593"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593"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customers, current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collaborations, current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593"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593"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593"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liability</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September 30, 2024 and December 31, 2023, respectively; no shares issued and outstanding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20,800,000 shares and 12,800,000 shares authorized as of September 30, 2024 and December 31, 2023, respectively; 3,324,780 and 3,003,855 shares issued and outstanding as of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578,325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(486,797</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92,080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8"/>
        <w:gridCol w:w="146"/>
        <w:gridCol w:w="146"/>
        <w:gridCol w:w="211"/>
        <w:gridCol w:w="826"/>
        <w:gridCol w:w="166"/>
        <w:gridCol w:w="146"/>
        <w:gridCol w:w="211"/>
        <w:gridCol w:w="826"/>
        <w:gridCol w:w="166"/>
        <w:gridCol w:w="146"/>
        <w:gridCol w:w="211"/>
        <w:gridCol w:w="826"/>
        <w:gridCol w:w="166"/>
        <w:gridCol w:w="146"/>
        <w:gridCol w:w="211"/>
        <w:gridCol w:w="826"/>
        <w:gridCol w:w="611"/>
      </w:tblGrid>
      <w:tr>
        <w:trPr/>
        <w:tc>
          <w:tcPr>
            <w:tcW w:w="4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611" w:type="dxa"/>
            <w:tcBorders/>
            <w:shd w:fill="CFF0FC" w:val="clear"/>
            <w:vAlign w:val="center"/>
          </w:tcPr>
          <w:p>
            <w:pPr>
              <w:pStyle w:val="TableContents"/>
              <w:bidi w:val="0"/>
              <w:spacing w:before="0" w:after="283"/>
              <w:jc w:val="left"/>
              <w:rPr/>
            </w:pPr>
            <w:r>
              <w:rPr/>
              <w:t> </w:t>
            </w:r>
          </w:p>
        </w:tc>
      </w:tr>
      <w:tr>
        <w:trPr/>
        <w:tc>
          <w:tcPr>
            <w:tcW w:w="4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611" w:type="dxa"/>
            <w:tcBorders/>
            <w:shd w:fill="FFFFFF" w:val="clear"/>
            <w:vAlign w:val="center"/>
          </w:tcPr>
          <w:p>
            <w:pPr>
              <w:pStyle w:val="TableContents"/>
              <w:bidi w:val="0"/>
              <w:spacing w:before="0" w:after="283"/>
              <w:jc w:val="left"/>
              <w:rPr/>
            </w:pPr>
            <w:r>
              <w:rPr/>
              <w:t> </w:t>
            </w:r>
          </w:p>
        </w:tc>
      </w:tr>
      <w:tr>
        <w:trPr/>
        <w:tc>
          <w:tcPr>
            <w:tcW w:w="4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2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2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shd w:fill="CFF0FC" w:val="clear"/>
            <w:vAlign w:val="center"/>
          </w:tcPr>
          <w:p>
            <w:pPr>
              <w:pStyle w:val="TableContents"/>
              <w:bidi w:val="0"/>
              <w:spacing w:before="0" w:after="283"/>
              <w:jc w:val="left"/>
              <w:rPr/>
            </w:pPr>
            <w:r>
              <w:rPr/>
              <w:t> </w:t>
            </w:r>
          </w:p>
        </w:tc>
      </w:tr>
      <w:tr>
        <w:trPr/>
        <w:tc>
          <w:tcPr>
            <w:tcW w:w="4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basic and diluted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6,272,291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6,258,706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1,728,282</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495"/>
        <w:gridCol w:w="146"/>
        <w:gridCol w:w="146"/>
        <w:gridCol w:w="826"/>
        <w:gridCol w:w="146"/>
        <w:gridCol w:w="146"/>
        <w:gridCol w:w="345"/>
        <w:gridCol w:w="346"/>
        <w:gridCol w:w="146"/>
        <w:gridCol w:w="146"/>
        <w:gridCol w:w="196"/>
        <w:gridCol w:w="691"/>
        <w:gridCol w:w="146"/>
        <w:gridCol w:w="146"/>
        <w:gridCol w:w="217"/>
        <w:gridCol w:w="834"/>
        <w:gridCol w:w="166"/>
        <w:gridCol w:w="146"/>
        <w:gridCol w:w="416"/>
        <w:gridCol w:w="800"/>
        <w:gridCol w:w="146"/>
        <w:gridCol w:w="146"/>
        <w:gridCol w:w="240"/>
        <w:gridCol w:w="815"/>
        <w:gridCol w:w="212"/>
      </w:tblGrid>
      <w:tr>
        <w:trPr/>
        <w:tc>
          <w:tcPr>
            <w:tcW w:w="2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4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3,191,425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(516,599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67,229</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Vesting of early exercised </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3,324,780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(486,797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92,080</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w:t>
              <w:br/>
              <w:t>   RSU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6,321</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212" w:type="dxa"/>
            <w:tcBorders/>
            <w:shd w:fill="CFF0FC"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2" w:type="dxa"/>
            <w:tcBorders/>
            <w:shd w:fill="FFFFFF" w:val="clear"/>
            <w:vAlign w:val="center"/>
          </w:tcPr>
          <w:p>
            <w:pPr>
              <w:pStyle w:val="TableContents"/>
              <w:bidi w:val="0"/>
              <w:spacing w:before="0" w:after="283"/>
              <w:jc w:val="left"/>
              <w:rPr/>
            </w:pPr>
            <w:r>
              <w:rPr/>
              <w:t> </w:t>
            </w:r>
          </w:p>
        </w:tc>
      </w:tr>
      <w:tr>
        <w:trPr/>
        <w:tc>
          <w:tcPr>
            <w:tcW w:w="24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(49,061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3,324,780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146"/>
        <w:gridCol w:w="146"/>
        <w:gridCol w:w="826"/>
        <w:gridCol w:w="146"/>
        <w:gridCol w:w="146"/>
        <w:gridCol w:w="345"/>
        <w:gridCol w:w="346"/>
        <w:gridCol w:w="146"/>
        <w:gridCol w:w="146"/>
        <w:gridCol w:w="196"/>
        <w:gridCol w:w="691"/>
        <w:gridCol w:w="146"/>
        <w:gridCol w:w="146"/>
        <w:gridCol w:w="217"/>
        <w:gridCol w:w="834"/>
        <w:gridCol w:w="166"/>
        <w:gridCol w:w="146"/>
        <w:gridCol w:w="416"/>
        <w:gridCol w:w="800"/>
        <w:gridCol w:w="146"/>
        <w:gridCol w:w="146"/>
        <w:gridCol w:w="231"/>
        <w:gridCol w:w="821"/>
        <w:gridCol w:w="213"/>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9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(440,864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69,635</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related </w:t>
              <w:br/>
              <w:t>   to ESPP 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Vesting of early exercised </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54,821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9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(399,118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103,900</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9,361</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Vesting of early exercised </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3"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13"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(59,787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54,821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69"/>
        <w:gridCol w:w="146"/>
        <w:gridCol w:w="235"/>
        <w:gridCol w:w="938"/>
        <w:gridCol w:w="184"/>
        <w:gridCol w:w="162"/>
        <w:gridCol w:w="235"/>
        <w:gridCol w:w="820"/>
        <w:gridCol w:w="1016"/>
      </w:tblGrid>
      <w:tr>
        <w:trPr/>
        <w:tc>
          <w:tcPr>
            <w:tcW w:w="6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(49,061</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(59,787</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Accretion of discount on investments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0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right of use assets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right of use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including ESPP</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600"/>
              <w:jc w:val="right"/>
              <w:rPr/>
            </w:pPr>
            <w:r>
              <w:rPr/>
              <w:t> </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w:t>
            </w:r>
          </w:p>
        </w:tc>
        <w:tc>
          <w:tcPr>
            <w:tcW w:w="1016" w:type="dxa"/>
            <w:tcBorders/>
            <w:shd w:fill="FFFFFF" w:val="clear"/>
            <w:vAlign w:val="center"/>
          </w:tcPr>
          <w:p>
            <w:pPr>
              <w:pStyle w:val="TableContents"/>
              <w:bidi w:val="0"/>
              <w:spacing w:before="0" w:after="283"/>
              <w:ind w:left="0" w:right="0" w:firstLine="600"/>
              <w:jc w:val="left"/>
              <w:rPr/>
            </w:pPr>
            <w:r>
              <w:rPr/>
              <w:t> </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016" w:type="dxa"/>
            <w:tcBorders/>
            <w:shd w:fill="FFFFFF" w:val="clear"/>
            <w:vAlign w:val="center"/>
          </w:tcPr>
          <w:p>
            <w:pPr>
              <w:pStyle w:val="TableContents"/>
              <w:bidi w:val="0"/>
              <w:spacing w:before="0" w:after="283"/>
              <w:ind w:left="0" w:right="0" w:firstLine="600"/>
              <w:jc w:val="left"/>
              <w:rPr/>
            </w:pPr>
            <w:r>
              <w:rPr/>
              <w:t> </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 from collaborations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 from customers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9"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73"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Activities in available-for-sale investments:</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45,011</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(108,149</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and cash equivalents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44,988</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73"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upon exercise of pre funded warrants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finance lease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ESPP purchase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common stock option</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9"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9"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(100,333</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1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81,462</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8887" w:type="dxa"/>
        <w:jc w:val="left"/>
        <w:tblInd w:w="0" w:type="dxa"/>
        <w:tblLayout w:type="fixed"/>
        <w:tblCellMar>
          <w:top w:w="28" w:type="dxa"/>
          <w:left w:w="28" w:type="dxa"/>
          <w:bottom w:w="28" w:type="dxa"/>
          <w:right w:w="28" w:type="dxa"/>
        </w:tblCellMar>
      </w:tblPr>
      <w:tblGrid>
        <w:gridCol w:w="5956"/>
        <w:gridCol w:w="146"/>
        <w:gridCol w:w="265"/>
        <w:gridCol w:w="849"/>
        <w:gridCol w:w="183"/>
        <w:gridCol w:w="183"/>
        <w:gridCol w:w="265"/>
        <w:gridCol w:w="849"/>
        <w:gridCol w:w="1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amounts on the Consolidated Balance Sheets: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35,331</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70,429</w:t>
            </w:r>
          </w:p>
        </w:tc>
        <w:tc>
          <w:tcPr>
            <w:tcW w:w="19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financing and investing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 to market adjustment for available-for-sale investments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right of use asset through operating lease obligation</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91" w:type="dxa"/>
            <w:tcBorders/>
            <w:shd w:fill="CFF0FC"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Vesting of early exercised options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Organization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Aligos is a clinical-stage biopharmaceutical company developing novel therapeutics to address unmet medical needs in viral and liver diseases, including for chronic hepatitis B (CHB), metabolic dysfunction associated steatohepatitis (MASH), and coronaviruses.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losses and negative cash flows from operations in each fiscal year since its inception. As of September 30, 2024 and December 31, 2023, the Company had an accumulated deficit of $535.9 million and $486.8 million, respectively. Management expects to continue to incur additional substantial losses in future fiscal years in the foreseeable future as a result of its research and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the Company has cash, cash equivalents and investments of approximately $74.9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to finance its cash needs through a combination of public or private equity offerings, debt financings, collaborations, strategic alliances, licensing arrangements and/or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ability to raise additional funds depends on financial, economic and other factors, many of which are beyond its control. For example, if there is a disruption of global financial markets,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has always maintained a dual banking system to limit its credit and liquidity risk.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U.S. generally accepted accounting principles (GAAP) and applicable rules and regulations of the Securities and Exchange Commission (the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December 31, 2023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2023, included in the Company’s Annual Report on Form 10-K filed with the SEC on March 12, 2024. </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balance sheet as of September 30, 2024, the consolidated statements of operations and comprehensive loss for the three and nine months ended September 30, 2024 and 2023, the consolidated statements of stockholders’ equity for the three and nine months ended September 30, 2024 and 2023, and the consolidated statements of cash flows for the nine months ended September 30, 2024 and 2023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September 30, 2024 and the consolidated results of its operations and cash flows for the nine months ended September 30, 2024 and 2023. The consolidated financial data and other information disclosed in these notes related to the three and nine months ended September 30, 2024 and 2023 are unaudited. The consolidated results for the three and nine months ended September 30, 2024 are not necessarily indicative of results to be expected for the year ending December 31, 2024, any other interim periods, or any future year or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Significant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material changes were made to the Company’s significant accounting policies disclosed in Note 2, Summary of significant accounting policies, in its Annual Report on Form 10-K, filed with the SEC on March 12, 2024, for the year ended December 31, 2023.</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2024, the Company’s stockholders approved a reverse stock split of its authorized, issued and outstanding voting and non-voting common stock at a range of ratios between 1-for-5 to 1-for-30, and the Company’s board of directors subsequently approved the implementation of the reverse stock split at a ratio of 1-for-25 (the Reverse Stock Split). The Reverse Stock Split was effective as of August 19,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the effective time of the Reverse Stock Split, every 25 issued and outstanding shares of the Company’s common stock was automatically reclassified into one issued and outstanding share of the Company’s common stock. This reduced the number of shares outstanding from 79.9 million shares to 3.3 million shares. The Reverse Stock Split did not affect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prior period share and per share amounts of the Company's common stock presented have been retroactively adjusted to reflect the 1-for-25 Reverse Stock Split.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ASU No. 2023-07, Segment Reporting (Topic 280) (ASU 2023-07). The guidance improves reportable segment disclosures requirements, primarily through enhanced disclosures about significant segment expenses. The standard is effective for fiscal years beginning after December 15, 2023, and interim periods within fiscal years beginning after December 15, 2024. Early adoption is permitted. The Company is evaluating the potential impact of this standard on its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recent accounting pronouncements issued, but not yet effective, and does not expect any to have a material effect on the Company’s condensed consolidated financial statements other than those discussed in its Annual Report on Form 10-K, filed with the SEC on March 12, 2024, for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components of property and equipment as of September 30, 2024 and December 31, 2023 were as follows (in thousands): </w:t>
      </w:r>
    </w:p>
    <w:p>
      <w:pPr>
        <w:pStyle w:val="TextBody"/>
        <w:bidi w:val="0"/>
        <w:jc w:val="left"/>
        <w:rPr/>
      </w:pPr>
      <w:r>
        <w:rPr/>
        <w:t> </w:t>
      </w:r>
    </w:p>
    <w:tbl>
      <w:tblPr>
        <w:tblW w:w="5745" w:type="dxa"/>
        <w:jc w:val="left"/>
        <w:tblInd w:w="0" w:type="dxa"/>
        <w:tblLayout w:type="fixed"/>
        <w:tblCellMar>
          <w:top w:w="28" w:type="dxa"/>
          <w:left w:w="28" w:type="dxa"/>
          <w:bottom w:w="28" w:type="dxa"/>
          <w:right w:w="28" w:type="dxa"/>
        </w:tblCellMar>
      </w:tblPr>
      <w:tblGrid>
        <w:gridCol w:w="2641"/>
        <w:gridCol w:w="146"/>
        <w:gridCol w:w="254"/>
        <w:gridCol w:w="886"/>
        <w:gridCol w:w="166"/>
        <w:gridCol w:w="146"/>
        <w:gridCol w:w="244"/>
        <w:gridCol w:w="851"/>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4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4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under construction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at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was $0.3 million and $0.8 million, respectively, for the three and nine months ended September 30, 2024 and $0.3 million and $1.2 million for the three and nine months ended September 30, 2023, respectively. Finance leases are also included in property and equipment as vehicles and lab equipment on the condensed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amortized cost, gross unrealized gains and losses, and estimated fair values of total fixed-maturity securities were as follows (in thousands): </w:t>
      </w:r>
    </w:p>
    <w:p>
      <w:pPr>
        <w:pStyle w:val="TextBody"/>
        <w:bidi w:val="0"/>
        <w:jc w:val="left"/>
        <w:rPr/>
      </w:pPr>
      <w:r>
        <w:rPr/>
        <w:t> </w:t>
      </w:r>
    </w:p>
    <w:tbl>
      <w:tblPr>
        <w:tblW w:w="7305"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354"/>
        <w:gridCol w:w="532"/>
        <w:gridCol w:w="146"/>
        <w:gridCol w:w="146"/>
        <w:gridCol w:w="495"/>
        <w:gridCol w:w="391"/>
        <w:gridCol w:w="14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4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46"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2023, the Company did not hold any available for sale securities.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Changes in fair value are related to changes in market interest rates. The Company expects to collect all contractual principal and interest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summary of maturities of securities available-for-sale as of September 30, 2024 (in thousands): </w:t>
      </w:r>
    </w:p>
    <w:p>
      <w:pPr>
        <w:pStyle w:val="TextBody"/>
        <w:bidi w:val="0"/>
        <w:jc w:val="left"/>
        <w:rPr/>
      </w:pPr>
      <w:r>
        <w:rPr/>
        <w:t> </w:t>
      </w:r>
    </w:p>
    <w:tbl>
      <w:tblPr>
        <w:tblW w:w="5137" w:type="dxa"/>
        <w:jc w:val="left"/>
        <w:tblInd w:w="0" w:type="dxa"/>
        <w:tblLayout w:type="fixed"/>
        <w:tblCellMar>
          <w:top w:w="28" w:type="dxa"/>
          <w:left w:w="28" w:type="dxa"/>
          <w:bottom w:w="28" w:type="dxa"/>
          <w:right w:w="28" w:type="dxa"/>
        </w:tblCellMar>
      </w:tblPr>
      <w:tblGrid>
        <w:gridCol w:w="1976"/>
        <w:gridCol w:w="146"/>
        <w:gridCol w:w="296"/>
        <w:gridCol w:w="949"/>
        <w:gridCol w:w="146"/>
        <w:gridCol w:w="146"/>
        <w:gridCol w:w="211"/>
        <w:gridCol w:w="676"/>
        <w:gridCol w:w="59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maturing in: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5"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591" w:type="dxa"/>
            <w:tcBorders/>
            <w:shd w:fill="CFF0FC" w:val="clear"/>
            <w:vAlign w:val="center"/>
          </w:tcPr>
          <w:p>
            <w:pPr>
              <w:pStyle w:val="TableContents"/>
              <w:bidi w:val="0"/>
              <w:spacing w:before="0" w:after="283"/>
              <w:ind w:left="0" w:right="0" w:firstLine="100"/>
              <w:jc w:val="center"/>
              <w:rPr/>
            </w:pPr>
            <w:r>
              <w:rPr/>
              <w:t> </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One year or less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39,591</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19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39,591</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recorded interest income of $0.5 million and $1.4 million for the three and nine months ended September 30, 2024, respectively, and $1.0 million and $2.7 million for the three and nine months ended September 30, 2023, respectively, as a component of interest and other income, net on the Company’s condensed consolidated statements of operations and comprehensive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5245" w:type="dxa"/>
        <w:jc w:val="left"/>
        <w:tblInd w:w="0" w:type="dxa"/>
        <w:tblLayout w:type="fixed"/>
        <w:tblCellMar>
          <w:top w:w="28" w:type="dxa"/>
          <w:left w:w="28" w:type="dxa"/>
          <w:bottom w:w="28" w:type="dxa"/>
          <w:right w:w="28" w:type="dxa"/>
        </w:tblCellMar>
      </w:tblPr>
      <w:tblGrid>
        <w:gridCol w:w="1981"/>
        <w:gridCol w:w="146"/>
        <w:gridCol w:w="271"/>
        <w:gridCol w:w="869"/>
        <w:gridCol w:w="146"/>
        <w:gridCol w:w="146"/>
        <w:gridCol w:w="260"/>
        <w:gridCol w:w="835"/>
        <w:gridCol w:w="5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5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payables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w:t>
            </w:r>
          </w:p>
        </w:tc>
        <w:tc>
          <w:tcPr>
            <w:tcW w:w="5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 Capital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20, 2020, the Company amended its certificate of incorporation to increase the total shares of common stock authorized for issuance to 12,800,000 and decrease the total shares of preferred stock authorized for issuance to 10,000,000 with a par value of $0.0001 per share. 12,000,000 shares of the common stock were designated as “Voting Common Stock” and 800,000 shares of the common stock were designated as “Non-Voting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27, 2024, the Company amended its certificate of incorporation to increase the total shares of voting common stock authorized for issuance from 12,000,000 to 20,000,000.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shares of voting common stock are entitled to one vote for each share of common stock at all meetings of stockholders.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Common Warrants and Pre-Funded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 private investment in public equity offering and entered into a securities purchase agreement (the Securities Purchase Agreement) with certain institutional and accredited investors, pursuant to which the Company agreed to offer, issue and sell to these investors 1,257,168 shares of common stock, par value $0.0001 per share (the Common Stock), pre-funded warrants to purchase an aggregate of 3,242,018 shares of Common Stock (the Pre-Funded Warrants), and warrants to purchase an aggregate of 2,249,680 shares of Common Stock (the Common Warrants, and together with the Pre-Funded Warrants, the Warrants). Each Pre-Funded Warrant has an exercise price of $0.0001 per share of common stock, was immediately exercisable and is exercisable until exercised in full. Each accompanying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measured the fair value of the Common Stock and the Pre-Funded Warrants based on the $18.92 per share purchase price stated in the Securities Purchase Agreement. The Company measured the fair value of the Common Warrants using the Black-Scholes option pricing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used the with-and-without method to allocate the net proceeds received from the sale of the Common Stock, the Pre-Funded Warrants, and the Common Warrants on the Consolidated Balance Sheets as follows: </w:t>
      </w:r>
    </w:p>
    <w:p>
      <w:pPr>
        <w:pStyle w:val="TextBody"/>
        <w:bidi w:val="0"/>
        <w:spacing w:before="120" w:after="283"/>
        <w:jc w:val="left"/>
        <w:rPr/>
      </w:pPr>
      <w:r>
        <w:rPr/>
        <w:t> </w:t>
      </w:r>
    </w:p>
    <w:tbl>
      <w:tblPr>
        <w:tblW w:w="3953" w:type="dxa"/>
        <w:jc w:val="left"/>
        <w:tblInd w:w="0" w:type="dxa"/>
        <w:tblLayout w:type="fixed"/>
        <w:tblCellMar>
          <w:top w:w="28" w:type="dxa"/>
          <w:left w:w="28" w:type="dxa"/>
          <w:bottom w:w="28" w:type="dxa"/>
          <w:right w:w="28" w:type="dxa"/>
        </w:tblCellMar>
      </w:tblPr>
      <w:tblGrid>
        <w:gridCol w:w="1816"/>
        <w:gridCol w:w="146"/>
        <w:gridCol w:w="428"/>
        <w:gridCol w:w="1372"/>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October 25,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18,641</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3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48,079</w:t>
            </w:r>
          </w:p>
        </w:tc>
        <w:tc>
          <w:tcPr>
            <w:tcW w:w="1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Pre-Funded Warrants outstanding at September 30, 2024: </w:t>
      </w:r>
    </w:p>
    <w:p>
      <w:pPr>
        <w:pStyle w:val="TextBody"/>
        <w:bidi w:val="0"/>
        <w:spacing w:before="120" w:after="283"/>
        <w:jc w:val="left"/>
        <w:rPr/>
      </w:pPr>
      <w:r>
        <w:rPr/>
        <w:t> </w:t>
      </w:r>
    </w:p>
    <w:tbl>
      <w:tblPr>
        <w:tblW w:w="6298" w:type="dxa"/>
        <w:jc w:val="left"/>
        <w:tblInd w:w="0" w:type="dxa"/>
        <w:tblLayout w:type="fixed"/>
        <w:tblCellMar>
          <w:top w:w="28" w:type="dxa"/>
          <w:left w:w="28" w:type="dxa"/>
          <w:bottom w:w="28" w:type="dxa"/>
          <w:right w:w="28" w:type="dxa"/>
        </w:tblCellMar>
      </w:tblPr>
      <w:tblGrid>
        <w:gridCol w:w="2986"/>
        <w:gridCol w:w="146"/>
        <w:gridCol w:w="400"/>
        <w:gridCol w:w="2555"/>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 shares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3,242,018</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pPr>
            <w:r>
              <w:rPr/>
              <w:t> </w:t>
            </w:r>
          </w:p>
        </w:tc>
        <w:tc>
          <w:tcPr>
            <w:tcW w:w="25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2,948,405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2,948,405</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the activities of the Company’s warrant liability, which represents a recurring measurement that is classified with Level 3 of the fair value hierarchy wherein the fair value is estimated using significant unobservable inputs:</w:t>
      </w:r>
    </w:p>
    <w:p>
      <w:pPr>
        <w:pStyle w:val="TextBody"/>
        <w:bidi w:val="0"/>
        <w:spacing w:before="120" w:after="283"/>
        <w:jc w:val="left"/>
        <w:rPr/>
      </w:pPr>
      <w:r>
        <w:rPr/>
        <w:t> </w:t>
      </w:r>
    </w:p>
    <w:tbl>
      <w:tblPr>
        <w:tblW w:w="5878" w:type="dxa"/>
        <w:jc w:val="left"/>
        <w:tblInd w:w="0" w:type="dxa"/>
        <w:tblLayout w:type="fixed"/>
        <w:tblCellMar>
          <w:top w:w="28" w:type="dxa"/>
          <w:left w:w="28" w:type="dxa"/>
          <w:bottom w:w="28" w:type="dxa"/>
          <w:right w:w="28" w:type="dxa"/>
        </w:tblCellMar>
      </w:tblPr>
      <w:tblGrid>
        <w:gridCol w:w="3511"/>
        <w:gridCol w:w="146"/>
        <w:gridCol w:w="448"/>
        <w:gridCol w:w="1562"/>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liability as of January 1, 2024</w:t>
            </w:r>
          </w:p>
        </w:tc>
        <w:tc>
          <w:tcPr>
            <w:tcW w:w="146"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21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issued</w:t>
            </w:r>
          </w:p>
        </w:tc>
        <w:tc>
          <w:tcPr>
            <w:tcW w:w="146"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pPr>
            <w:r>
              <w:rPr/>
              <w:t> </w:t>
            </w:r>
          </w:p>
        </w:tc>
        <w:tc>
          <w:tcPr>
            <w:tcW w:w="15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liability</w:t>
            </w:r>
          </w:p>
        </w:tc>
        <w:tc>
          <w:tcPr>
            <w:tcW w:w="146"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liability as of September 30, 2024</w:t>
            </w:r>
          </w:p>
        </w:tc>
        <w:tc>
          <w:tcPr>
            <w:tcW w:w="146" w:type="dxa"/>
            <w:tcBorders/>
            <w:shd w:fill="CFF0FC" w:val="cle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Common Warrants was measured using the Black Scholes option pricing model and will be remeasured each reporting period, and the change in fair value will be recorded in earnings. The assumptions that the Company used to determine the fair value at issuance and the reporting date of the Common Warrants granted to participants were as follows: </w:t>
      </w:r>
    </w:p>
    <w:p>
      <w:pPr>
        <w:pStyle w:val="TextBody"/>
        <w:bidi w:val="0"/>
        <w:spacing w:before="120" w:after="283"/>
        <w:jc w:val="left"/>
        <w:rPr/>
      </w:pPr>
      <w:r>
        <w:rPr/>
        <w:t> </w:t>
      </w:r>
    </w:p>
    <w:tbl>
      <w:tblPr>
        <w:tblW w:w="6010" w:type="dxa"/>
        <w:jc w:val="left"/>
        <w:tblInd w:w="0" w:type="dxa"/>
        <w:tblLayout w:type="fixed"/>
        <w:tblCellMar>
          <w:top w:w="28" w:type="dxa"/>
          <w:left w:w="28" w:type="dxa"/>
          <w:bottom w:w="28" w:type="dxa"/>
          <w:right w:w="28" w:type="dxa"/>
        </w:tblCellMar>
      </w:tblPr>
      <w:tblGrid>
        <w:gridCol w:w="2086"/>
        <w:gridCol w:w="146"/>
        <w:gridCol w:w="314"/>
        <w:gridCol w:w="1231"/>
        <w:gridCol w:w="271"/>
        <w:gridCol w:w="146"/>
        <w:gridCol w:w="305"/>
        <w:gridCol w:w="119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16"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Common Warrants outstanding at September 30, 2024: </w:t>
      </w:r>
    </w:p>
    <w:p>
      <w:pPr>
        <w:pStyle w:val="TextBody"/>
        <w:bidi w:val="0"/>
        <w:spacing w:before="120" w:after="283"/>
        <w:jc w:val="left"/>
        <w:rPr/>
      </w:pPr>
      <w:r>
        <w:rPr/>
        <w:t> </w:t>
      </w:r>
    </w:p>
    <w:tbl>
      <w:tblPr>
        <w:tblW w:w="6128" w:type="dxa"/>
        <w:jc w:val="left"/>
        <w:tblInd w:w="0" w:type="dxa"/>
        <w:tblLayout w:type="fixed"/>
        <w:tblCellMar>
          <w:top w:w="28" w:type="dxa"/>
          <w:left w:w="28" w:type="dxa"/>
          <w:bottom w:w="28" w:type="dxa"/>
          <w:right w:w="28" w:type="dxa"/>
        </w:tblCellMar>
      </w:tblPr>
      <w:tblGrid>
        <w:gridCol w:w="2986"/>
        <w:gridCol w:w="146"/>
        <w:gridCol w:w="380"/>
        <w:gridCol w:w="2425"/>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warrant shares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pPr>
            <w:r>
              <w:rPr/>
              <w:t> </w:t>
            </w:r>
          </w:p>
        </w:tc>
        <w:tc>
          <w:tcPr>
            <w:tcW w:w="24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2,249,680</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24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FFFFFF" w:val="cle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2,249,680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pPr>
            <w:r>
              <w:rPr/>
              <w:t> </w:t>
            </w:r>
          </w:p>
        </w:tc>
        <w:tc>
          <w:tcPr>
            <w:tcW w:w="24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2,249,680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adopted the 2024 Employment Inducement Award Plan in September 2024 as an inducement material to entering employment in accordance with Nasdaq Listing Rule 5635(c)(4). The Plan is used exclusively for the grant of equity awards to individuals who were not previously employed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2024, the Company’s stock option compensation expense was approximately $1.9 million and $6.3 million, respectively, and during the three and nine months ended September 30, 2023, the Company’s stock option compensation expense was approximately $2.9 million and $9.4 million, respectively. There was no recognized tax benefit in either of the periods. As of September 30, 2024, the unamortized expense balance was $5.8 million, to be amortized over a weighted average period of 2.35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 activity during the nine months ended September 30, 2024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79"/>
        <w:gridCol w:w="146"/>
        <w:gridCol w:w="146"/>
        <w:gridCol w:w="841"/>
        <w:gridCol w:w="166"/>
        <w:gridCol w:w="146"/>
        <w:gridCol w:w="211"/>
        <w:gridCol w:w="676"/>
        <w:gridCol w:w="146"/>
        <w:gridCol w:w="146"/>
        <w:gridCol w:w="238"/>
        <w:gridCol w:w="764"/>
        <w:gridCol w:w="146"/>
        <w:gridCol w:w="146"/>
        <w:gridCol w:w="421"/>
        <w:gridCol w:w="693"/>
        <w:gridCol w:w="194"/>
      </w:tblGrid>
      <w:tr>
        <w:trPr/>
        <w:tc>
          <w:tcPr>
            <w:tcW w:w="4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r>
      <w:tr>
        <w:trPr/>
        <w:tc>
          <w:tcPr>
            <w:tcW w:w="4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r>
      <w:tr>
        <w:trPr/>
        <w:tc>
          <w:tcPr>
            <w:tcW w:w="4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4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Replacement options from Exchange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r>
      <w:tr>
        <w:trPr/>
        <w:tc>
          <w:tcPr>
            <w:tcW w:w="4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r>
        <w:trPr/>
        <w:tc>
          <w:tcPr>
            <w:tcW w:w="4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r>
      <w:tr>
        <w:trPr/>
        <w:tc>
          <w:tcPr>
            <w:tcW w:w="4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options from Exchange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4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r>
      <w:tr>
        <w:trPr/>
        <w:tc>
          <w:tcPr>
            <w:tcW w:w="4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r>
        <w:trPr/>
        <w:tc>
          <w:tcPr>
            <w:tcW w:w="4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three and nine months ended September 30, 2024 was $8.80 and $14.82 per share, respectively, and during the three and nine months ended September 30, 2023 was $14.71 and $20.67 per share,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Option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commenced a stock option exchange program (the Exchange Offer) pursuant to which eligible employees were provided the opportunity to exchange eligible stock options for a number of new replacement option grants at the exchange ratio of one replacement option for every 1.4 eligible options tendered for those priced pre-reverse stock split between $2.10 to $11.85, and one replacement option for every 3.4 eligible options tendered for those priced pre-reverse stock split over $11.86. The Exchange Offer concluded in February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Exchange Offer, the Company canceled 155,155 eligible options and granted 76,147 replacement options. The exchange of these options was accounted for as a modification of share-based compensation awards. The Company recognized $3.0 thousand of unamortized compensation cost related to the canceled options as well as the incremental compensation cost associated with the replacement options over their one year vesting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2024, the Company recorded zero and $0.1 million of stock-based compensation expense related to restricted stock units. During the three and nine months ended September 30, 2023, the Company did not record any stock-based compensation expense related to restricted stock units. As of September 30, 2024, the unamortized expense balance was $34 thousand, to be amortized over a weighted average period of 3.57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Restricted stock activity during the nine months ended September 30, 2024 is as follows: </w:t>
      </w:r>
    </w:p>
    <w:p>
      <w:pPr>
        <w:pStyle w:val="TextBody"/>
        <w:bidi w:val="0"/>
        <w:spacing w:before="240" w:after="283"/>
        <w:jc w:val="left"/>
        <w:rPr/>
      </w:pPr>
      <w:r>
        <w:rPr/>
        <w:t> </w:t>
      </w:r>
    </w:p>
    <w:tbl>
      <w:tblPr>
        <w:tblW w:w="7747" w:type="dxa"/>
        <w:jc w:val="left"/>
        <w:tblInd w:w="0" w:type="dxa"/>
        <w:tblLayout w:type="fixed"/>
        <w:tblCellMar>
          <w:top w:w="28" w:type="dxa"/>
          <w:left w:w="28" w:type="dxa"/>
          <w:bottom w:w="28" w:type="dxa"/>
          <w:right w:w="28" w:type="dxa"/>
        </w:tblCellMar>
      </w:tblPr>
      <w:tblGrid>
        <w:gridCol w:w="3841"/>
        <w:gridCol w:w="146"/>
        <w:gridCol w:w="214"/>
        <w:gridCol w:w="641"/>
        <w:gridCol w:w="166"/>
        <w:gridCol w:w="146"/>
        <w:gridCol w:w="236"/>
        <w:gridCol w:w="709"/>
        <w:gridCol w:w="166"/>
        <w:gridCol w:w="146"/>
        <w:gridCol w:w="342"/>
        <w:gridCol w:w="783"/>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January 1, 2024</w:t>
            </w:r>
          </w:p>
        </w:tc>
        <w:tc>
          <w:tcPr>
            <w:tcW w:w="146" w:type="dxa"/>
            <w:tcBorders/>
            <w:shd w:fill="CFF0FC" w:val="clear"/>
            <w:vAlign w:val="center"/>
          </w:tcPr>
          <w:p>
            <w:pPr>
              <w:pStyle w:val="TableContents"/>
              <w:bidi w:val="0"/>
              <w:spacing w:before="0" w:after="283"/>
              <w:jc w:val="left"/>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granted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vested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September 30, 2024</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and 2023, the Company did not issue shares of common stock, upon exercise of unvested stock options or purchases for unvested restricted stock awards.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2024, the Company recorded total stock-based compensation expense related to the employee stock purchase plan of $0.1 million and $0.4 million, respectively. During the three and nine months ended September 30, 2023, the Company recorded total stock-based compensation expense related to the employee stock purchase plan of $0.3 million and $0.7 million, respectively. During the nine months ended September 30, 2024 and 2023, 22,438 and 22,481 purchases of awards under this plan were made, respectively.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for the three and nine months ended September 30, 2024 and 2023 (in thousands): </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676"/>
        <w:gridCol w:w="146"/>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w:t>
            </w:r>
          </w:p>
        </w:tc>
        <w:tc>
          <w:tcPr>
            <w:tcW w:w="146" w:type="dxa"/>
            <w:tcBorders/>
            <w:shd w:fill="CFF0FC"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Unobservable inputs that are supported by little or no market activity that are significant to determining the fair value of the assets or liabilities, including pricing models, discounted cash flow methodologies and similar techniques.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fair value of the Company’s financial instruments that are measured or disclosed at fair value on a recurring basis (in thousands): </w:t>
      </w:r>
    </w:p>
    <w:p>
      <w:pPr>
        <w:pStyle w:val="TextBody"/>
        <w:bidi w:val="0"/>
        <w:jc w:val="left"/>
        <w:rPr/>
      </w:pPr>
      <w:r>
        <w:rPr/>
        <w:t> </w:t>
      </w:r>
    </w:p>
    <w:tbl>
      <w:tblPr>
        <w:tblW w:w="6066" w:type="dxa"/>
        <w:jc w:val="left"/>
        <w:tblInd w:w="0" w:type="dxa"/>
        <w:tblLayout w:type="fixed"/>
        <w:tblCellMar>
          <w:top w:w="28" w:type="dxa"/>
          <w:left w:w="28" w:type="dxa"/>
          <w:bottom w:w="28" w:type="dxa"/>
          <w:right w:w="28" w:type="dxa"/>
        </w:tblCellMar>
      </w:tblPr>
      <w:tblGrid>
        <w:gridCol w:w="2456"/>
        <w:gridCol w:w="146"/>
        <w:gridCol w:w="211"/>
        <w:gridCol w:w="781"/>
        <w:gridCol w:w="146"/>
        <w:gridCol w:w="146"/>
        <w:gridCol w:w="352"/>
        <w:gridCol w:w="278"/>
        <w:gridCol w:w="146"/>
        <w:gridCol w:w="146"/>
        <w:gridCol w:w="211"/>
        <w:gridCol w:w="736"/>
        <w:gridCol w:w="31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September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4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4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Available for 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CFF0FC" w:val="clear"/>
            <w:vAlign w:val="center"/>
          </w:tcPr>
          <w:p>
            <w:pPr>
              <w:pStyle w:val="TableContents"/>
              <w:bidi w:val="0"/>
              <w:spacing w:before="0" w:after="283"/>
              <w:jc w:val="left"/>
              <w:rPr/>
            </w:pPr>
            <w:r>
              <w:rPr/>
              <w:t> </w:t>
            </w:r>
          </w:p>
        </w:tc>
      </w:tr>
      <w:tr>
        <w:trPr/>
        <w:tc>
          <w:tcPr>
            <w:tcW w:w="2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24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2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4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vAlign w:val="center"/>
          </w:tcPr>
          <w:p>
            <w:pPr>
              <w:pStyle w:val="TableContents"/>
              <w:bidi w:val="0"/>
              <w:spacing w:before="0" w:after="283"/>
              <w:jc w:val="left"/>
              <w:rPr/>
            </w:pPr>
            <w:r>
              <w:rPr/>
              <w:t> </w:t>
            </w:r>
          </w:p>
        </w:tc>
      </w:tr>
      <w:tr>
        <w:trPr/>
        <w:tc>
          <w:tcPr>
            <w:tcW w:w="2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4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56"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License and collaboration agreements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Agreement with Emory University (Emory)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In connection with the research plan, the Company provided Emory funding up to $0.3 million per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agreed to pay Emory up to an aggregate of $125.0 million upon the achievement of specified development, regulatory, and commercial milestones, and all ongoing patent costs. During the three and nine months ended September 30, 2024 and 2023,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and nine months ended September 30, 2024 and 2023, the Company made no payments associated with royalties and recognized no expense or accruals.</w:t>
      </w:r>
    </w:p>
    <w:p>
      <w:pPr>
        <w:pStyle w:val="TextBody"/>
        <w:bidi w:val="0"/>
        <w:spacing w:before="360" w:after="283"/>
        <w:jc w:val="left"/>
        <w:rPr>
          <w:rFonts w:ascii="Times New Roman" w:hAnsi="Times New Roman"/>
          <w:sz w:val="20"/>
        </w:rPr>
      </w:pPr>
      <w:r>
        <w:rPr>
          <w:rFonts w:ascii="Times New Roman" w:hAnsi="Times New Roman"/>
          <w:b/>
          <w:i/>
          <w:color w:val="000000"/>
          <w:sz w:val="20"/>
        </w:rPr>
        <w:t>Agreement with Luxna Biotech Co., Ltd. (Luxna)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obligated to make payments to Luxna, in aggregate, totaling up to but no more than $55.5 million upon the achievement of specified development, regulatory, and commercial milestones. During the three and nine months ended September 30, 2024 and 2023, the Company recognized no expenses related to milestone payments. The Company is also required to pay Luxna a low-single digit royalty percentage on net sale of applicable products, if any. During the three and nine months ended September 30, 2024 and 2023, the Company made no payments associated with royalties.</w:t>
      </w:r>
    </w:p>
    <w:p>
      <w:pPr>
        <w:pStyle w:val="TextBody"/>
        <w:bidi w:val="0"/>
        <w:spacing w:before="360" w:after="283"/>
        <w:jc w:val="left"/>
        <w:rPr>
          <w:rFonts w:ascii="Times New Roman" w:hAnsi="Times New Roman"/>
          <w:sz w:val="20"/>
        </w:rPr>
      </w:pPr>
      <w:r>
        <w:rPr>
          <w:rFonts w:ascii="Times New Roman" w:hAnsi="Times New Roman"/>
          <w:b/>
          <w:i/>
          <w:color w:val="000000"/>
          <w:sz w:val="20"/>
        </w:rPr>
        <w:t>Agreement with Katholieke Universiteit Leuven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and nine months ended September 30, 2024, the Company made no payments of royalties or milestones.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Agreements with Merck</w:t>
      </w:r>
    </w:p>
    <w:p>
      <w:pPr>
        <w:pStyle w:val="TextBody"/>
        <w:bidi w:val="0"/>
        <w:spacing w:before="120" w:after="283"/>
        <w:jc w:val="left"/>
        <w:rPr>
          <w:rFonts w:ascii="Times New Roman" w:hAnsi="Times New Roman"/>
          <w:color w:val="000000"/>
          <w:sz w:val="20"/>
        </w:rPr>
      </w:pPr>
      <w:bookmarkStart w:id="9" w:name="highlight_result_7"/>
      <w:bookmarkEnd w:id="9"/>
      <w:r>
        <w:rPr>
          <w:rFonts w:ascii="Times New Roman" w:hAnsi="Times New Roman"/>
          <w:color w:val="000000"/>
          <w:sz w:val="20"/>
        </w:rPr>
        <w:t xml:space="preserve">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MASH target and up to one additional liver-targeted cardiometabolic and/or fibrosis target. Under the terms of the agreement, the Company received an upfront payment of $12 million from Merck. With respect to the collaboration target, the Company will be eligible for up to $458.0 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2022, the Company and Merck entered into an amendment to the exclusive License and Research Collaboration Agreement (the First Amendment, together with the Original Agreement, the Expanded Arrangement). As a result of the First Amendment, the collaboration with Merck was expanded to include the Company's grant of rights to Merck of an early-stage program with respect to a second undisclosed MASH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 million from Merck for the Company's grant of rights to the program directed at a second undisclosed MASH target. With respect to the second target in the collaboration, the Company is eligible to receive up to approximately $460.0 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2023, Merck provided to the Company written notice of termination for one of the targets in the collaboration. In May 2024, Merck provided to the Company written notice of termination for the second of the targets in the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and 2023, the Company recognized $19 thousand and $2.2 million, respectively, in revenue from collaborative arrangements related to upfront payments. During the three and nine months ended September 30, 2024 and 2023, the Company recognized no revenue from collaborative arrangements related to milestone payments. The unrecognized portion of the upfront payments received during the three and nine months ended September 30, 2024 and 2023 is recorded on the consolidated balance sheets as “Deferred revenue from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deferred revenue balances arose as a result of the Company recognizing the following revenue from collaborative arrangements during the periods below (in thousands):</w:t>
      </w:r>
    </w:p>
    <w:tbl>
      <w:tblPr>
        <w:tblW w:w="6914" w:type="dxa"/>
        <w:jc w:val="left"/>
        <w:tblInd w:w="0" w:type="dxa"/>
        <w:tblLayout w:type="fixed"/>
        <w:tblCellMar>
          <w:top w:w="28" w:type="dxa"/>
          <w:left w:w="28" w:type="dxa"/>
          <w:bottom w:w="28" w:type="dxa"/>
          <w:right w:w="28" w:type="dxa"/>
        </w:tblCellMar>
      </w:tblPr>
      <w:tblGrid>
        <w:gridCol w:w="4711"/>
        <w:gridCol w:w="146"/>
        <w:gridCol w:w="211"/>
        <w:gridCol w:w="481"/>
        <w:gridCol w:w="166"/>
        <w:gridCol w:w="146"/>
        <w:gridCol w:w="211"/>
        <w:gridCol w:w="63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collaborations as of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1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 recognized in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collaborations as of September 30</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Government Grants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the Company was awarded a grant of $1.1 million by the National Institute of Health (NIH) for research to target coronaviruses. The grant is for multiple years with the amount updated after each year of progress through 2025, subject to the annual reapplication and approval by the NIH. In 2023, the approved grant awarded was an additional $1.4 million. In 2024, the approved grant awarded was an additional $1.5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2023, the Company was awarded a contract of $8.5 million by the National Institute of Allergies and Infectious Diseases (NIAID) for research to target coronaviruses. In March 2024, the Company entered into an amendment to the above contract and was awarded an additional $1.3 million, making the total contract value $9.8 million. The contract ends in early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xml:space="preserve"> 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based on certain interpretations, it is analogous to “probable” as defined in FASB ASC 450-20-20 under U.S. GAAP, which is the definition the Company has applied. The grants and contracts will be recognized in earnings as a reduction of the related expenses.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Agreement with ADCT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Agreement with Amoytop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and Xiamen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 of $7.0 million, less withholding taxes of $1.1 million from Amoytop. With respect to the agreement, the Company will be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and Amoytop entered into a nine month extension to the Development Agreement and Research Collaboration Agreement, covering work performed through January 2025. Under the terms of the agreement, the Company received an upfront payment of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Amoytop agreement and extension falls within the scope of ASC 606, Revenue from Contracts with Customers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and 2023, the Company recognized $1.3 million and $1.1 million, respectively, in revenue from customers related to upfront payments. During the three months ended September 30, 2024 and 2023, the Company recognized no revenue from customers related to milestone payments. The unrecognized portion of the upfront payments received during the three months ended September 30, 2024 and 2023 is recorded on the consolidated balance sheets as “Deferred revenue from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deferred revenue balances arose as a result of the Company recognizing the following revenue from customers during the periods below (in thousands): </w:t>
      </w:r>
    </w:p>
    <w:p>
      <w:pPr>
        <w:pStyle w:val="TextBody"/>
        <w:bidi w:val="0"/>
        <w:spacing w:before="120" w:after="283"/>
        <w:jc w:val="left"/>
        <w:rPr/>
      </w:pPr>
      <w:r>
        <w:rPr/>
        <w:t> </w:t>
      </w:r>
    </w:p>
    <w:tbl>
      <w:tblPr>
        <w:tblW w:w="6704" w:type="dxa"/>
        <w:jc w:val="left"/>
        <w:tblInd w:w="0" w:type="dxa"/>
        <w:tblLayout w:type="fixed"/>
        <w:tblCellMar>
          <w:top w:w="28" w:type="dxa"/>
          <w:left w:w="28" w:type="dxa"/>
          <w:bottom w:w="28" w:type="dxa"/>
          <w:right w:w="28" w:type="dxa"/>
        </w:tblCellMar>
      </w:tblPr>
      <w:tblGrid>
        <w:gridCol w:w="4351"/>
        <w:gridCol w:w="146"/>
        <w:gridCol w:w="211"/>
        <w:gridCol w:w="631"/>
        <w:gridCol w:w="166"/>
        <w:gridCol w:w="146"/>
        <w:gridCol w:w="211"/>
        <w:gridCol w:w="631"/>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as of January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1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in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21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 recognized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as of September 30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September 30, 2024 and December 31, 2023. The Company enters into contracts in the normal course of business that includes arrangements with clinical research organizations, vendors for preclinical research and vendors for manufacturing. These agreements generally allow for cancellation with notice. As of September 30, 2024, the Company had no material non-cancellable purchase commitments.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expense of $0.3 million for the nine months ended September 30, 2024, primarily related to the Company's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history of losses in prior fiscal years and projects losses for the full year 2024. The Company continues to maintain a full valuation allowance on its net deferred tax assets.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per share of the Company (in thousands, except share and per share data): </w:t>
      </w:r>
    </w:p>
    <w:p>
      <w:pPr>
        <w:pStyle w:val="TextBody"/>
        <w:bidi w:val="0"/>
        <w:jc w:val="left"/>
        <w:rPr/>
      </w:pPr>
      <w:r>
        <w:rPr/>
        <w:t> </w:t>
      </w:r>
    </w:p>
    <w:tbl>
      <w:tblPr>
        <w:tblW w:w="9004" w:type="dxa"/>
        <w:jc w:val="left"/>
        <w:tblInd w:w="0" w:type="dxa"/>
        <w:tblLayout w:type="fixed"/>
        <w:tblCellMar>
          <w:top w:w="28" w:type="dxa"/>
          <w:left w:w="28" w:type="dxa"/>
          <w:bottom w:w="28" w:type="dxa"/>
          <w:right w:w="28" w:type="dxa"/>
        </w:tblCellMar>
      </w:tblPr>
      <w:tblGrid>
        <w:gridCol w:w="3331"/>
        <w:gridCol w:w="146"/>
        <w:gridCol w:w="196"/>
        <w:gridCol w:w="826"/>
        <w:gridCol w:w="166"/>
        <w:gridCol w:w="146"/>
        <w:gridCol w:w="196"/>
        <w:gridCol w:w="826"/>
        <w:gridCol w:w="166"/>
        <w:gridCol w:w="146"/>
        <w:gridCol w:w="146"/>
        <w:gridCol w:w="146"/>
        <w:gridCol w:w="196"/>
        <w:gridCol w:w="826"/>
        <w:gridCol w:w="166"/>
        <w:gridCol w:w="146"/>
        <w:gridCol w:w="196"/>
        <w:gridCol w:w="826"/>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(59,787</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stock outstanding</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6,272,291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6,258,706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1,728,282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potentially dilutive securities, which include options to purchase common stock, unvested restricted stock and warrants to purchase common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bidi w:val="0"/>
        <w:jc w:val="left"/>
        <w:rPr/>
      </w:pPr>
      <w:r>
        <w:rPr/>
        <w:t> </w:t>
      </w:r>
    </w:p>
    <w:tbl>
      <w:tblPr>
        <w:tblW w:w="8164" w:type="dxa"/>
        <w:jc w:val="left"/>
        <w:tblInd w:w="0" w:type="dxa"/>
        <w:tblLayout w:type="fixed"/>
        <w:tblCellMar>
          <w:top w:w="28" w:type="dxa"/>
          <w:left w:w="28" w:type="dxa"/>
          <w:bottom w:w="28" w:type="dxa"/>
          <w:right w:w="28" w:type="dxa"/>
        </w:tblCellMar>
      </w:tblPr>
      <w:tblGrid>
        <w:gridCol w:w="2701"/>
        <w:gridCol w:w="146"/>
        <w:gridCol w:w="146"/>
        <w:gridCol w:w="826"/>
        <w:gridCol w:w="146"/>
        <w:gridCol w:w="146"/>
        <w:gridCol w:w="146"/>
        <w:gridCol w:w="691"/>
        <w:gridCol w:w="146"/>
        <w:gridCol w:w="146"/>
        <w:gridCol w:w="146"/>
        <w:gridCol w:w="146"/>
        <w:gridCol w:w="146"/>
        <w:gridCol w:w="826"/>
        <w:gridCol w:w="146"/>
        <w:gridCol w:w="146"/>
        <w:gridCol w:w="146"/>
        <w:gridCol w:w="691"/>
        <w:gridCol w:w="5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701"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3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445,278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445,278</w:t>
            </w:r>
          </w:p>
        </w:tc>
        <w:tc>
          <w:tcPr>
            <w:tcW w:w="53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5,365</w:t>
            </w:r>
          </w:p>
        </w:tc>
        <w:tc>
          <w:tcPr>
            <w:tcW w:w="53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450,643</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preparing the interim financial statements for the three and nine months ended September 30, 2024, the Company evaluated subsequent events for recognition and measurement purposes, no such event has occurred which require disclosure.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m2"/>
      <w:bookmarkEnd w:id="10"/>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 Unless otherwise indicated, all information in this Quarterly Report on Form 10-Q gives effect to a 1-for-25 reverse stock split of our common stock that became effective on August 19, 2024, and all references to shares of common stock outstanding and per share amounts give effect to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focused on developing novel therapeutics to address unmet medical needs in liver diseases and viral infections, including in the areas of chronic hepatitis B (CHB), metabolic dysfunction associated steatohepatitis (MASH), and coronavirus infections (e.g., SARS-CoV-2, SARS-CoV, MERS-CoV, and other related infections). The Aligos team has a demonstrated track record of success in drug development and medicinal chemistry in liver and viral diseases, resulting in three potential best-in-class drug candidates, all of which are currently in clinical studies. </w:t>
      </w:r>
    </w:p>
    <w:p>
      <w:pPr>
        <w:pStyle w:val="TextBody"/>
        <w:bidi w:val="0"/>
        <w:spacing w:before="120" w:after="283"/>
        <w:jc w:val="left"/>
        <w:rPr>
          <w:rFonts w:ascii="Times New Roman" w:hAnsi="Times New Roman"/>
          <w:sz w:val="20"/>
        </w:rPr>
      </w:pPr>
      <w:r>
        <w:rPr>
          <w:rFonts w:ascii="Times New Roman" w:hAnsi="Times New Roman"/>
          <w:color w:val="000000"/>
          <w:sz w:val="20"/>
        </w:rPr>
        <w:t>Our pipeline of drug candidates includes ALG-000184 for CHB, ALG-055009 for MASH, ALG</w:t>
        <w:noBreakHyphen/>
        <w:t>097558 for coronavirus infections, and we also have a portfolio of preclinical programs. ALG-000184 is our potential best-/first-in-class Capsid Assembly Modulator (CAM-E) for CHB with enhanced pharmacologic properties vs. competitor CAM-E drugs and has demonstrated greater HBV DNA suppression compared to the standard of care, nucleos(t)ide analogs (NAs), as well as multi-log</w:t>
      </w:r>
      <w:r>
        <w:rPr>
          <w:rFonts w:ascii="Times New Roman" w:hAnsi="Times New Roman"/>
          <w:color w:val="000000"/>
          <w:sz w:val="13"/>
        </w:rPr>
        <w:t>10</w:t>
      </w:r>
      <w:r>
        <w:rPr>
          <w:rFonts w:ascii="Times New Roman" w:hAnsi="Times New Roman"/>
          <w:color w:val="000000"/>
          <w:sz w:val="20"/>
        </w:rPr>
        <w:t xml:space="preserve"> reductions in viral antigens. ALG-055009 is our potential best-in-class thyroid hormone receptor beta (THR-β) agonist for MASH with enhanced pharmacologic properties vs. competitor THR-β agonists. Phase 2a topline data demonstrated that ALG-055009 dose groups met the primary endpoint with statistically significant reductions in liver fat at Week 12 as measured by Magnetic Resonance Imaging Proton Density Fat Fraction (MRI-PDFF).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area of focus seeks to enhance the viral suppression and rate of functional cure for CHB, which often results in life-threatening conditions such as cirrhosis, end-stage liver disease, and the most common form of liver cancer, hepatocellular carcinoma (HCC). To achieve this, we are developing a portfolio of differentiated CHB drug candidates, including a small molecule Capsid Assembly Modulator that results in the production of empty viral capsids and small molecule inhibitors of the Programmed Cell Death Ligand 1 (PD</w:t>
        <w:noBreakHyphen/>
        <w:t xml:space="preserve">1/PD-L1) interaction. </w:t>
      </w:r>
    </w:p>
    <w:p>
      <w:pPr>
        <w:pStyle w:val="TextBody"/>
        <w:bidi w:val="0"/>
        <w:spacing w:before="120" w:after="283"/>
        <w:jc w:val="left"/>
        <w:rPr>
          <w:rFonts w:ascii="Times New Roman" w:hAnsi="Times New Roman"/>
          <w:sz w:val="20"/>
        </w:rPr>
      </w:pPr>
      <w:r>
        <w:rPr>
          <w:rFonts w:ascii="Times New Roman" w:hAnsi="Times New Roman"/>
          <w:color w:val="000000"/>
          <w:sz w:val="20"/>
        </w:rPr>
        <w:t>We have completed the initial Phase 1a study in healthy volunteers (HVs) for our CAM-E, ALG</w:t>
        <w:noBreakHyphen/>
        <w:t>000184, and a Phase 1b dose range finding study evaluating the safety, pharmacokinetic (PK) and antiviral activity of 10-300 mg doses of ALG</w:t>
        <w:noBreakHyphen/>
        <w:t>000184 for 28 days among untreated HBV e-antigen (HBeAg) positive/negative CHB subjects. For these studies, ALG</w:t>
        <w:noBreakHyphen/>
        <w:t>000184 was found to be well tolerated with a favorable PK profile and demonstrated potentially best-in-class multi-log</w:t>
      </w:r>
      <w:r>
        <w:rPr>
          <w:rFonts w:ascii="Times New Roman" w:hAnsi="Times New Roman"/>
          <w:color w:val="000000"/>
          <w:sz w:val="13"/>
        </w:rPr>
        <w:t xml:space="preserve">10 </w:t>
      </w:r>
      <w:r>
        <w:rPr>
          <w:rFonts w:ascii="Times New Roman" w:hAnsi="Times New Roman"/>
          <w:color w:val="000000"/>
          <w:sz w:val="20"/>
        </w:rPr>
        <w:t>HBV DNA and RNA reductions at all doses tested, as well as HBV surface antigen (HBsAg) reductions in a subset of HBeAg positive subjects receiving 300 mg ALG</w:t>
        <w:noBreakHyphen/>
        <w:t>000184 (Hou et. al, AASLD 2022). Based on the favorable profile after dosing up to 300 mg ALG</w:t>
        <w:noBreakHyphen/>
        <w:t xml:space="preserve">000184 x 28 days, additional Phase 1b cohorts are currently ongoing and evaluating the risk-benefit profile of up to 300 mg doses of ALG000184 with or without entecavir (ETV) therapy for up to 96 weeks in HBeAg positive and HBeAg negative CHB subjects. Preliminary data have been presented for several of these cohorts (Agarwal et al., EASL 2024, Yuen et al., EASL 2024) and indicate that ALG000184 (± ETV) dosed for up to 72 weeks was well tolerated with a favorable PK profile and potentially best-in-class antiviral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from ≤72 weeks following an oral daily dose of 300 mg ALG-000184 monotherapy demonstrated HBV DNA suppression (&lt;LLOQ &lt;10 IU/mL) in 6/10 (60%) subjects by Week 48 and in 9/10 (90%) HBeAg-positive CHB subjects by Week 72. This monotherapy arm also showed that as HBeAg declined to near undetectability in this patient population, and that anti-HBe antibody (HBeAb) levels exhibited a positive increasing trend. Data from subjects who received a daily single dose of 300 mg ALG-000184 monotherapy demonstrated complete sustained suppression of HBV DNA (&lt;LLOQ 10 IU/mL) and RNA (&lt;LLOQ 10 copies/mL) for all 11 HBeAg-negative CHB subjects (100%) by week 48, with reduction in HBcrAg levels indicating inhibition of HBV replication, and suggesting inhibition of cccDNA establishment/replenishment. In both patient populations, ALG-000184 continued to be well tolerated with no viral breakthrough.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Compared to Phase 3 studies with the current standard of care NAs, tenofovir disoproxil fumarate (TDF) and tenofovir alafenamide (TAF) (Buti et al., Lancet Gastro, 2016), these Phase 1b data indicate that ALG</w:t>
        <w:noBreakHyphen/>
        <w:t>000184 treatment may result in a substantially higher proportion of subjects with HBV DNA levels &lt; LLOQ (10 IU/mL) at Week 48, which is the approvable endpoint for chronic suppressive therapy in HBV (Food and Drug Administration (FDA) Guidance, Chronic Hepatitis B Virus Infection: Developing Drugs for Treatment Guidance for Industry, April 2022 – Section III.B.1.a). We recently received supportive feedback from the FDA regarding chronic suppressive therapy with ALG-000184. Subsequent clinical studies of ALG</w:t>
        <w:noBreakHyphen/>
        <w:t xml:space="preserve">000184 can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conducted to show superiority to standard of care with the proportion of subjects with HBV DNA levels &lt; LLOQ (10 IU/mL) at Week 48, as the primary approvable endpoint. Additionally, in combination with other mechanisms of action such as Amoytop’s mipeginterferon alfa-2b and those in our CHB portfolio, ALG-000184 may lead to higher rates of functional cure. Dosing of HBeAg positive and HBeAg negative subjects with ALG000184 ± ETV will continue throughout 2024 and interim safety, PK, and antiviral activity data will be presented at scientific conferences throughout the year. In October 2024, Aligos announced that the FDA cleared the Company’s investigational new drug application (IND) for a Phase 1 drug-drug interaction study, and while Phase 2 enabling activities are ongoing, we plan the submission of a new Phase 2 protocol under the existing IND in the first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exploring ways to boost immune responses via small molecule inhibitors of the Programmed Cell Death Ligand 1 (PD-L1) transmembrane protein and its interaction with Programmed Cell Death Protein 1 (PD-1). We have rationally designed these T cell activating drug candidates to partition preferentially to the liver and thereby potentially mitigate systemic toxicity with the goal to develop better tolerated PD-1/PD-L1 inhibitors for CHB patients. Lead molecules developed to date show in vivo efficacy in tumor models similar to approved PD-1/PD-L1 antibodies. Our small molecule lead compounds also demonstrate greater PD-L1 target occupancy at a lower dose in a humanized PD-L1 subcutaneous tumor model compared to competitor small molecule PD-L1 inhibitors. We have recently selected two lead molecules and have completed scale-up to enable further advancement towards clinical development.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MASH is a complex, chronic liver disease which is a leading cause of liver-related morbidity including cirrhosis, hepatocellular carcinoma, liver transplant, and end-stage liver disease. The FDA recently approved the first drug for the treatment of MASH, resmetirom, a THR-β agonist, but a need remains for better therapies due to resmetirom’s sub-optimal risk-benefit profile, particularly its likely sub-maximal efficacy. To achieve this, we have purpose-built ALG-055009 to have increased potency (~50-fold greater vs. resmetirom in head-to-head in vitro studies) and ß selectivity as well as enhanced pharmacologic properties to deliver a better PK profile; we believe all of these advantages make ALG-055009 well positioned to be a potential best-in-class THR-β agonist.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ALG-055009 completed evaluation in a Phase 1 study in HVs (oral single ascending doses (SAD)) and in subjects with hyperlipidemia (14 oral daily doses). Clinical data after single doses up to 4 mg and multiple doses up to 1 mg showed that ALG</w:t>
        <w:noBreakHyphen/>
        <w:t xml:space="preserve">055009 was well tolerated, had dose proportional PK with low intersubject variability, and demonstrated expected thyromimetic effects (i.e., generally dose proportional increases in sex hormone binding globulin and decreases in various atherogenic lipids and thyroid hormones). In this same study, we also evaluated relative bioavailability where we showed the soft gelatin capsules being used in current studies deliver similar exposures compared to the solution used in Phase 1 studies; we observed low intersubject PK variability and there was no evidence of a meaningful food effect.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these promising Phase 1 data, we initiated the Phase 2a HERALD study (NCT06342947) at sites across the United States. The study is a 12-week randomized, placebo-controlled trial evaluating 4 doses (0.3 mg, 0.5 mg, 0.7 mg, and 0.9 mg) of ALG-055009 vs. placebo in 102 subjects with presumed liver fibrosis at stages 1-3 (F1-F3) with MASH. In addition to collecting safety and PK data, this study is also designed to assess multiple efficacy biomarkers, which include MRI-PDFF and other non-invasive tests previously shown to be impacted by treatment with THR</w:t>
        <w:noBreakHyphen/>
        <w:t xml:space="preserve">ß agonists. We announced positive topline safety and 12-week MRI-PDFF data from this study in September 2024, demonstrating that ALG-055009 dose groups met the primary endpoint. Doses of 0.5 mg to 0.9 mg ALG-055009 demonstrated statistically significant reductions in liver fat at Week 12, with placebo-adjusted median relative reductions up to 46.2% as measured by MRI-PDFF. Up to 70% of subjects achieved ≥30% relative reduction in liver fat compared to baseline. ALG-055009 demonstrated a favorable tolerability profile with no evidence of clinical hyper/hypothyroidism. Incidence of gastrointestinal-related treatment emergent adverse events were similar in ALG-055009 dose groups compared to placebo. Specifically, a non-dose-related, lower incidence of diarrhea was observed in ALG-055009 dose groups compared to placebo. Significant reductions in atherogenic lipids, including LDL-C, lipoprotein (a), and apolipoprotein B were also observed. We plan to present additional data from this study at upcoming scientific conferences. Phase 2b enabling activities are underway, with expected completion in the middle of 2025. We are also assessing potential Phase 2b clinical trial study designs with key opinion leaders, and plan to consult with the FDA. Lastly, we are evaluating a variety of options to fund continued development and are in early partnering discussions.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Coronavirus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ALG-097558 which has advanced into Phase 1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w:t>
        <w:noBreakHyphen/>
        <w:t xml:space="preserve">097558 has been shown to be at least 6-fold more potent than nirmatrelvir and other PIs in clinical development against a panel of SARS-CoV-2 variants (including Omicron). It also has demonstrated broad pan-coronavirus activity, including against SARS-CoV and MERS-CoV. In Phase 1 clinical studies, single doses up to 2000 mg and multiple doses up to 800 mg Q12 for 7 days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been well tolerated with an acceptable PK profile that indicates ritonavir boosting is not required. Based on these Phase 1 data (Wilkes et al, ESCMID, 2024), the projected efficacious dose range to treat SARS-CoV-2 is 200-600 mg ALG-097558 Q12 x 5 days.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ALG-097558 is expected to begin three additional clinical trials in the fourth quarter of 2024. AGILE University of Liverpool, a UK government supported platform trial (MRC and Wellcome Trust funding), will sponsor and perform a study in high-risk COVID patients evaluating ALG-097558 as monotherapy or in combination with remdesivir. In addition, the NIAID will sponsor two clinical studies in special populations (renal/hepatic impairment subjects) evaluating pharmacokinetic (PK) differences. NIAID will also sponsor a drug drug interaction and relative bioavailability study in healthy volunteers. We expect that future development of ALG</w:t>
        <w:noBreakHyphen/>
        <w:t>097558, including ongoing Phase 2 enabling activities, will be funded by external sources, including public funding sources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filed an IND in the third quarter of 2024 and clinical studies in special populations are planned to be initiated in the second half of 2024 through the end of 2025 as part of this NIAID contract. We expect to receive approximately $13.8 million in funds across these two NIH awards and contracts to support these activities. We are also seeking additional external funding (e.g., from governmental agencies) to support future studies (e.g., Phase 2) as we advance ALG-097558 for the treatment of COVID-19 and future coronavirus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in each year since our formation in February 2018. Our net losses were $49.1 million and $59.8 million for the nine months ended September 30, 2024 and 2023, respectively, and our net losses were $87.7 million for the year ended December 31, 2023. We have had no revenue from product sales. As of September 30, 2024, we had an accumulated deficit of $535.9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revenues consist of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includes recognition of our upfront payments pursuant to the Merck Original Agreement and First Amendment. In order to record collaboration revenue, we utilize an input method to recognize revenue over time as costs are incurred. </w:t>
      </w:r>
    </w:p>
    <w:p>
      <w:pPr>
        <w:pStyle w:val="TextBody"/>
        <w:bidi w:val="0"/>
        <w:spacing w:before="120" w:after="283"/>
        <w:jc w:val="left"/>
        <w:rPr>
          <w:rFonts w:ascii="Times New Roman" w:hAnsi="Times New Roman"/>
          <w:sz w:val="20"/>
        </w:rPr>
      </w:pPr>
      <w:r>
        <w:rPr>
          <w:rFonts w:ascii="Times New Roman" w:hAnsi="Times New Roman"/>
          <w:i/>
          <w:color w:val="000000"/>
          <w:sz w:val="20"/>
        </w:rPr>
        <w:t>Contract revenue</w:t>
      </w:r>
      <w:r>
        <w:rPr>
          <w:rFonts w:ascii="Times New Roman" w:hAnsi="Times New Roman"/>
          <w:color w:val="000000"/>
          <w:sz w:val="20"/>
        </w:rPr>
        <w:t xml:space="preserve"> includes recognition of revenue generated from research and development services under third-party contracts with customers. In order to record contract revenue, we utilize an input method to recognize revenue over time as costs are incurred.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since inception have consisted solely of research and development costs and general and administrative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employee-related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in-process research and development, including license fees and milestones paid to third-party collaborators for technologies with no alternative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collaborators that perform nonclinical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for rent and maintenance of facilities, insurance, and other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track direct external research and development expenses on a program-specific basis (CHB, MASH, coronaviruses and early-stage programs). The following table summarizes these research and development costs, in thousands: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92"/>
        <w:gridCol w:w="146"/>
        <w:gridCol w:w="260"/>
        <w:gridCol w:w="834"/>
        <w:gridCol w:w="179"/>
        <w:gridCol w:w="260"/>
        <w:gridCol w:w="834"/>
        <w:gridCol w:w="146"/>
        <w:gridCol w:w="146"/>
        <w:gridCol w:w="254"/>
        <w:gridCol w:w="815"/>
        <w:gridCol w:w="175"/>
        <w:gridCol w:w="254"/>
        <w:gridCol w:w="815"/>
        <w:gridCol w:w="595"/>
      </w:tblGrid>
      <w:tr>
        <w:trPr/>
        <w:tc>
          <w:tcPr>
            <w:tcW w:w="4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4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6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9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Direct research and development expenses by development program:</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center"/>
              <w:rPr/>
            </w:pPr>
            <w:r>
              <w:rPr/>
              <w:t> </w:t>
            </w:r>
          </w:p>
        </w:tc>
        <w:tc>
          <w:tcPr>
            <w:tcW w:w="179" w:type="dxa"/>
            <w:tcBorders/>
            <w:shd w:fill="CFF0FC" w:val="clear"/>
            <w:vAlign w:val="center"/>
          </w:tcPr>
          <w:p>
            <w:pPr>
              <w:pStyle w:val="TableContents"/>
              <w:bidi w:val="0"/>
              <w:spacing w:before="0" w:after="283"/>
              <w:jc w:val="center"/>
              <w:rPr/>
            </w:pPr>
            <w:r>
              <w:rPr/>
              <w:t> </w:t>
            </w:r>
          </w:p>
        </w:tc>
        <w:tc>
          <w:tcPr>
            <w:tcW w:w="10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5" w:type="dxa"/>
            <w:tcBorders/>
            <w:shd w:fill="CFF0FC" w:val="clear"/>
            <w:vAlign w:val="center"/>
          </w:tcPr>
          <w:p>
            <w:pPr>
              <w:pStyle w:val="TableContents"/>
              <w:bidi w:val="0"/>
              <w:spacing w:before="0" w:after="283"/>
              <w:jc w:val="center"/>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595" w:type="dxa"/>
            <w:tcBorders/>
            <w:shd w:fill="CFF0FC" w:val="clear"/>
            <w:vAlign w:val="center"/>
          </w:tcPr>
          <w:p>
            <w:pPr>
              <w:pStyle w:val="TableContents"/>
              <w:bidi w:val="0"/>
              <w:spacing w:before="0" w:after="283"/>
              <w:ind w:left="0" w:right="0" w:firstLine="300"/>
              <w:jc w:val="center"/>
              <w:rPr/>
            </w:pPr>
            <w:r>
              <w:rPr/>
              <w:t> </w:t>
            </w:r>
          </w:p>
        </w:tc>
      </w:tr>
      <w:tr>
        <w:trPr/>
        <w:tc>
          <w:tcPr>
            <w:tcW w:w="44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Chronic Hepatitis B program</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w:t>
            </w:r>
          </w:p>
        </w:tc>
        <w:tc>
          <w:tcPr>
            <w:tcW w:w="595" w:type="dxa"/>
            <w:tcBorders/>
            <w:shd w:fill="FFFFFF" w:val="clear"/>
            <w:vAlign w:val="center"/>
          </w:tcPr>
          <w:p>
            <w:pPr>
              <w:pStyle w:val="TableContents"/>
              <w:bidi w:val="0"/>
              <w:spacing w:before="0" w:after="283"/>
              <w:ind w:left="0" w:right="0" w:firstLine="300"/>
              <w:jc w:val="left"/>
              <w:rPr/>
            </w:pPr>
            <w:r>
              <w:rPr/>
              <w:t> </w:t>
            </w:r>
          </w:p>
        </w:tc>
      </w:tr>
      <w:tr>
        <w:trPr/>
        <w:tc>
          <w:tcPr>
            <w:tcW w:w="44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Metabolic dysfunction-associated steatohepatitis program</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79"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595" w:type="dxa"/>
            <w:tcBorders/>
            <w:shd w:fill="CFF0FC" w:val="clear"/>
            <w:vAlign w:val="center"/>
          </w:tcPr>
          <w:p>
            <w:pPr>
              <w:pStyle w:val="TableContents"/>
              <w:bidi w:val="0"/>
              <w:spacing w:before="0" w:after="283"/>
              <w:ind w:left="0" w:right="0" w:firstLine="300"/>
              <w:jc w:val="left"/>
              <w:rPr/>
            </w:pPr>
            <w:r>
              <w:rPr/>
              <w:t> </w:t>
            </w:r>
          </w:p>
        </w:tc>
      </w:tr>
      <w:tr>
        <w:trPr/>
        <w:tc>
          <w:tcPr>
            <w:tcW w:w="44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Coronaviruses program</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595" w:type="dxa"/>
            <w:tcBorders/>
            <w:shd w:fill="FFFFFF" w:val="clear"/>
            <w:vAlign w:val="center"/>
          </w:tcPr>
          <w:p>
            <w:pPr>
              <w:pStyle w:val="TableContents"/>
              <w:bidi w:val="0"/>
              <w:spacing w:before="0" w:after="283"/>
              <w:ind w:left="0" w:right="0" w:firstLine="300"/>
              <w:jc w:val="left"/>
              <w:rPr/>
            </w:pPr>
            <w:r>
              <w:rPr/>
              <w:t> </w:t>
            </w:r>
          </w:p>
        </w:tc>
      </w:tr>
      <w:tr>
        <w:trPr/>
        <w:tc>
          <w:tcPr>
            <w:tcW w:w="44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early-stage programs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28,529</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22,179</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44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54,238</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comprises interest income, net and other income, net. Interest income, net primarily consists of interest earned on our cash, cash equivalents, and investments. Other income, net consists primarily of the change in fair value of our common warrant liability, investments and foreign currency gains/losses.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and nine months ended September 30, 2024 and 2023</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and nine months ended September 30, 2024 and 2023 (in thousands):</w:t>
      </w:r>
    </w:p>
    <w:p>
      <w:pPr>
        <w:pStyle w:val="TextBody"/>
        <w:bidi w:val="0"/>
        <w:jc w:val="left"/>
        <w:rPr/>
      </w:pPr>
      <w:r>
        <w:rPr/>
        <w:t> </w:t>
      </w:r>
    </w:p>
    <w:tbl>
      <w:tblPr>
        <w:tblW w:w="10798" w:type="dxa"/>
        <w:jc w:val="left"/>
        <w:tblInd w:w="0" w:type="dxa"/>
        <w:tblLayout w:type="fixed"/>
        <w:tblCellMar>
          <w:top w:w="28" w:type="dxa"/>
          <w:left w:w="28" w:type="dxa"/>
          <w:bottom w:w="28" w:type="dxa"/>
          <w:right w:w="28" w:type="dxa"/>
        </w:tblCellMar>
      </w:tblPr>
      <w:tblGrid>
        <w:gridCol w:w="1291"/>
        <w:gridCol w:w="146"/>
        <w:gridCol w:w="211"/>
        <w:gridCol w:w="736"/>
        <w:gridCol w:w="166"/>
        <w:gridCol w:w="146"/>
        <w:gridCol w:w="211"/>
        <w:gridCol w:w="736"/>
        <w:gridCol w:w="166"/>
        <w:gridCol w:w="146"/>
        <w:gridCol w:w="211"/>
        <w:gridCol w:w="631"/>
        <w:gridCol w:w="166"/>
        <w:gridCol w:w="146"/>
        <w:gridCol w:w="146"/>
        <w:gridCol w:w="421"/>
        <w:gridCol w:w="271"/>
        <w:gridCol w:w="146"/>
        <w:gridCol w:w="211"/>
        <w:gridCol w:w="736"/>
        <w:gridCol w:w="166"/>
        <w:gridCol w:w="146"/>
        <w:gridCol w:w="211"/>
        <w:gridCol w:w="736"/>
        <w:gridCol w:w="166"/>
        <w:gridCol w:w="146"/>
        <w:gridCol w:w="211"/>
        <w:gridCol w:w="676"/>
        <w:gridCol w:w="166"/>
        <w:gridCol w:w="146"/>
        <w:gridCol w:w="146"/>
        <w:gridCol w:w="52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from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collaborations decreased by $2.1 million and $7.0 million, respectively, for the three and nine months ended September 30, 2024, when compared to the same period in 2023. The decrease was primarily due to the completion of the Amended Agreement with Merck in the first quarter of 2024. </w:t>
      </w:r>
    </w:p>
    <w:p>
      <w:pPr>
        <w:pStyle w:val="TextBody"/>
        <w:bidi w:val="0"/>
        <w:spacing w:before="120" w:after="283"/>
        <w:jc w:val="left"/>
        <w:rPr>
          <w:rFonts w:ascii="Times New Roman" w:hAnsi="Times New Roman"/>
          <w:sz w:val="20"/>
        </w:rPr>
      </w:pPr>
      <w:r>
        <w:rPr>
          <w:rFonts w:ascii="Times New Roman" w:hAnsi="Times New Roman"/>
          <w:i/>
          <w:color w:val="000000"/>
          <w:sz w:val="20"/>
        </w:rPr>
        <w:t>Revenue from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customers increased by $0.2 million and decreased by $2.5 million, respectively, for the three and nine months ended September 30, 2024, when compared to the same period in 2023. The nine month decrease was due to the near completion of the original agreement with Amoytop and the start of the extension agreement. The three month increase was due to additional work completed on the extension.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$0.9 million during the three months ended September 30, 2024, compared to the same period in 2023. The increase in the three-month period was primarily due to a $1.0 million increase in third party expenses due to increased clinical study costs, a $0.3 million increase in facility and other expenses, and a $0.1 million increase in travel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This was partially offset by a $0.5 million decrease in employee-related costs including a $0.3 million decrease in stock-based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$3.5 million during the nine months ended September 30, 2024, compared to the same period in 2023. The increase in the nine-month period was primarily due to a $7.6 million increase in third party expenses due to increased clinical study costs. This was partially offset by a $3.3 million decrease in employee-related costs including a $1.4 million decrease in stock-based compensation, a $0.1 million decrease in depreciation, and a decrease of $0.7 million in facility and other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$1.8 million during the three months ended September 30, 2024, compared to the same period in 2023. This was primarily due to a $0.7 million decrease in third party expenses due to reduced legal and IP spend, and a $1.1 million decrease in employee-related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$6.5 million during the nine months ended September 30, 2024, compared to the same period in 2023. This was primarily due to a $3.6 million decrease in third party expenses due to reduced legal and IP spend, a $1.0 million decrease in facility and other expenses, a $2.3 million decrease in employee-related costs, and a $0.2 million decrease in depreciation. This was partially offset by a $0.6 million increase in travel and recruiting.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following table summarizes our interest and other income, net for the three and nine months ended September 30, 2024 and 2023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3"/>
        <w:gridCol w:w="146"/>
        <w:gridCol w:w="211"/>
        <w:gridCol w:w="421"/>
        <w:gridCol w:w="146"/>
        <w:gridCol w:w="146"/>
        <w:gridCol w:w="211"/>
        <w:gridCol w:w="571"/>
        <w:gridCol w:w="146"/>
        <w:gridCol w:w="146"/>
        <w:gridCol w:w="211"/>
        <w:gridCol w:w="481"/>
        <w:gridCol w:w="166"/>
        <w:gridCol w:w="146"/>
        <w:gridCol w:w="146"/>
        <w:gridCol w:w="421"/>
        <w:gridCol w:w="271"/>
        <w:gridCol w:w="146"/>
        <w:gridCol w:w="211"/>
        <w:gridCol w:w="676"/>
        <w:gridCol w:w="146"/>
        <w:gridCol w:w="146"/>
        <w:gridCol w:w="211"/>
        <w:gridCol w:w="571"/>
        <w:gridCol w:w="146"/>
        <w:gridCol w:w="146"/>
        <w:gridCol w:w="211"/>
        <w:gridCol w:w="676"/>
        <w:gridCol w:w="166"/>
        <w:gridCol w:w="146"/>
        <w:gridCol w:w="146"/>
        <w:gridCol w:w="526"/>
        <w:gridCol w:w="716"/>
      </w:tblGrid>
      <w:tr>
        <w:trPr/>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2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2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net decreased by $0.5 million and $1.4 million for the three and nine months ended September 30, 2024 when compared to the same periods ended September 30, 2023, primarily due to a general decrease in market interest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increased by $0.5 million and $18.0 million, respectively, for the three and nine months ended September 30, 2024 compared to the same periods ended September 30, 2023, due to the change in fair value of the Common Warrants associated with the Securities Purchase Agreement which are remeasured at the end of each reporting period.</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year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been financed primarily by net proceeds from the sale and issuance of our convertible preferred stock, proceeds from public offerings, revenue from customer and collaboration agreements, and proceeds from private placements of our common stock, warrants and pre-funded warrants, and the issuance of 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cash, cash equivalents and investments of $74.9 million. </w:t>
      </w:r>
    </w:p>
    <w:p>
      <w:pPr>
        <w:pStyle w:val="TextBody"/>
        <w:bidi w:val="0"/>
        <w:spacing w:before="36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CHB drug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w:t>
        <w:noBreakHyphen/>
        <w:t xml:space="preserve">000184, which we have initiated clinical trials, as well as our research and development of our other drug candidates within our MASH and coronavirus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incur costs associated with operating as a public company. We expect that our expenses will increase substantially to the extent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current and future clinical trials, and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continue research and nonclinical and clinical development of other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marketing approvals for any of our drug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drug candidates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clinical, quality control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milestones triggering payments by us under our current and potential future licensing and/or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out or expand existing facilities to support our ongoing development activity;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(in thousands): </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5941"/>
        <w:gridCol w:w="146"/>
        <w:gridCol w:w="211"/>
        <w:gridCol w:w="841"/>
        <w:gridCol w:w="166"/>
        <w:gridCol w:w="146"/>
        <w:gridCol w:w="211"/>
        <w:gridCol w:w="736"/>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shd w:fill="FFFFFF" w:val="cle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44,988</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operating activities utilized $62.3 million of cash, primarily resulting from our net loss of $49.1 million, net changes in operating assets and liabilities of $4.6 million, and non-cash charges of $8.6 million. Net cash used in operating activities resulted in changes in our operating assets and liabilities of $4.6 million, consisting of a decrease of $2.7 million in accrued liabilities, a decrease of $2.0 million in operating lease liabilities, a decrease of $0.1 million in deferred revenue from collaborations, an decrease of $0.6 million in deferred revenue from customers, partially offset by an increase of $0.2 million in accounts payable and a decrease in other assets of $0.5 million. The decrease in deferred revenue from collaborations was due to the recognition of revenue from collaborations due to progress towards the completion of the projects. The decrease in accrued liabilities was largely due to the bonus payments that occurred in the first quarter of 2024. The decrease in accounts payable is due to the timing of payments to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2023, operating activities utilized $56.3 million of cash, primarily resulting from our net loss of $59.8 million and net changes in operating assets and liabilities of $9.2 million, partially offset by non-cash charges of $12.7 million. Net cash used in operating activities resulted in changes in our operating assets and liabilities of $9.2 million, consisting of a decrease of $1.8 million in accounts payable, a decrease of $3.7 million in accrued liabilities, a decrease of $1.8 million in operating lease liabilities, and a decrease of $6.7 million in deferred revenue from collaborations, partially offset by a decrease in other assets of $3.5 million and an increase of $1.2 million in deferred revenue from customers. The decrease in deferred revenue from collaborations was due to the recognition of revenue from collaborations due to progress towards the completion of the projects.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in accrued liabilities was largely due to reduced manufacturing spend. The decrease in accounts payable is due to the timing of payments to vendors.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investing activities used $38.3 million of cash, primarily due to $108.1 million of purchase of short-term investments partially offset by $70.0 million related to maturities of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2023, investing activities provided $45.0 million of cash, primarily due to $45.0 million of investment maturities.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net cash provided by financing activities was $258.0 thousand, consisting primarily due to proceeds from the ESPP purchase.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2023, net cash provided by financing activities was $392 thousand, consisting primarily of proceeds from the ESPP purchase and from the exercise of stock options, partially offset by payments of our finance leases.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material changes to our contractual obligations and commitments as of September 30, 2024 as disclosed in the contractual obligations and commitment section in our Annual Report on Form 10-K filed with the SEC on March 12, 2024.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3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 discussion of our critical accounting estimates, see “Management’s discussion and analysis of financial condition and results of operations” and the notes to our audited financial statements in our Annual Report on Form 10-K, filed with the SEC on March 12, 2024 for the year ended December 31, 2023, and the notes to the financial statements appearing elsewhere in this Quarterly Report on Form 10-Q. There have been no material changes to these critical accounting policies and estimates through September 30, 2024 from those discussed in our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the expected impact of recently adopted accounting pronouncements, see Note 2. Summary of significant accounting policies in the “Notes to Unaudited Condensed Consolidated Financial Statements” contained in Part I, Item 1 of this report.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market risk during the nine months ended September 30, 2024, compared to the disclosures in Part II, Item 7A of our Annual Report on Form 10-K for the year ended December 31, 2023.</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2024, our disclosure controls and procedures were effective at the reasonable assurance level.</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under the Exchange Act) that occurred during the fiscal quarter ended September 30, 2024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each fiscal year since inception, we have incurred significant net losses. We generated $19.3 million and $49.1 million and losses for the three and nine months ended September 30, 2024, and $87.7 million losses for the year ended December 31, 2023. As of September 30, 2024, we had a total stockholders’ equity of $50.1 million. We have funded our operations to date primarily with proceeds from the sale of common stock, preferred stock, convertible notes, revenue from customer and collaboration agreements, and warrants.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never generated revenue from product sales and may never be profitable for a full fiscal year.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nonclinical development of drug candidates and programs and identifying and developing new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any drug candidates that we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drug candidates that we develop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we closed a private placement, which resulted in gross proceeds of approximately $92.1 million, before deducting placement agent fees and expenses. As of September 30, 2024, we had cash, cash equivalents and investments of $74.9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primarily financed our operations through the sale of common stock, preferred stock, convertible notes and warrants.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October 2023, we completed a private placement of common stock, warrants and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Based on our public float, as of the date of the filing of this report, we are only permitted to utilize a shelf registration statement,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United States and internationally;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 including our existing license agreements with Emory University (Emory) and KU Leuven;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to establish a sales, marketing, medical affairs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in 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accounting principles or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satisfy Nasdaq’s continued listing requirements, including, among other things, a minimum closing bid price of $1.00 per share, a minimum number of independent directors on the audit committee of the board of directors, and timely filing of all periodic financial reports, or risk delisting, which would have a material adverse effect on our business.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5, 2023, we received a letter from Nasdaq indicating that, for the last 30 consecutive business days, the bid price for our common stock had closed below the minimum $1.00 per share required for continued inclusion on the Nasdaq Global Select Market under the Nasdaq Listing Rules. On March 6, 2024, our common stock began trading on the Nasdaq Capital Market, making us eligible for an additional compliance period that ended on September 3,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Nasdaq Listing Rule 5810(c)(3)(A), if the closing bid price of our Common Shares is at or above $1.00 for a minimum of 10 consecutive business days by September 3, 2024, we would regain compliance with the minimum bid price requirement and our Common Shares would continue to be eligible for listing on the Nasdaq Capital Market, absent noncompliance with any other requirement for continued listing. On August 19, 2024, we effected a 1-for-25 reverse stock split of our common stock seeking to regain compliance with Nasdaq’s continued listing standards. From August 19, 2024 to August 30, 2024 (10 consecutive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days), the closing bid price of our common stock exceeded $1.00 per share. Accordingly, on September 3, 2024, we received a notice from Nasdaq indicating that we had regained compliance with Listing Rule 5450(a)(1) and 5550(a)(2) as of such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currently comply with Rule 5605 and the minimum bid requirement, there can be no assurance that we will be able to maintain compliance with listing requirements or maintain the listing of our common stock on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Delisting from Nasdaq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6" w:name="risks_related_to_product_development_reg"/>
      <w:bookmarkEnd w:id="16"/>
      <w:r>
        <w:rPr>
          <w:rFonts w:ascii="Times New Roman" w:hAnsi="Times New Roman"/>
          <w:b/>
          <w:color w:val="000000"/>
          <w:sz w:val="20"/>
        </w:rPr>
        <w:t>Risks related to product development and regulatory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 w:hAnsi="Times New Roman"/>
          <w:color w:val="000000"/>
          <w:sz w:val="13"/>
        </w:rPr>
        <w:t>TM</w:t>
      </w:r>
      <w:r>
        <w:rPr>
          <w:rFonts w:ascii="Times New Roman" w:hAnsi="Times New Roman"/>
          <w:color w:val="000000"/>
          <w:sz w:val="20"/>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Finally, for our siRNA drug candidate targeting HBsAg production, ALG</w:t>
        <w:noBreakHyphen/>
        <w:t xml:space="preserve">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plan to seek regulatory approval to commercialize our drug candidates both in the United States and in select foreign countries. While the scope of regulatory approval in other countries is generally similar to that in the United States, in order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our current and future drug candidates depends on many factors,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successfully utilize our drug discovery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data from our clinical program that supports an acceptable risk-benefit profile of our drug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clinical supply for our clinical trials and commercial manufacturing, if our drug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drug candidates in select indications or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exclusivity for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drug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drug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failure by us or third parties to comply with regulatory requirements, including the requirements of good laboratory practice (GLP);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nonclinical or other in vivo or in vitro 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our drug candidates for use in nonclinical studies and clinical trials from third-party suppliers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due to other global-scale potentially catastrophic events, including other public health pandemics or epidemics, terrorism, war, and climate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future drug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drug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drug candidates may not be sufficient to support the submission of an NDA to the FDA or other submission or to obtain regulatory approval in the United States, the European Union (EU)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w:t>
      </w:r>
      <w:r>
        <w:rPr>
          <w:rFonts w:ascii="Times New Roman" w:hAnsi="Times New Roman"/>
          <w:color w:val="000000"/>
          <w:sz w:val="13"/>
        </w:rPr>
        <w:t>10</w:t>
      </w:r>
      <w:r>
        <w:rPr>
          <w:rFonts w:ascii="Times New Roman" w:hAnsi="Times New Roman"/>
          <w:color w:val="000000"/>
          <w:sz w:val="20"/>
        </w:rPr>
        <w:t xml:space="preserve"> IU/mL HBsAg reduction level that we had previously defined as necessary to advance the program. As another example, in March 2022, we discontinued further development of our ASO drug candidate for CHB, ALG</w:t>
        <w:noBreakHyphen/>
        <w:t>020572, due to an unanticipated serious adverse event involving significant increase in ALT in one CHB subject and several other subjects experiencing ALT flares in the same study. Finally, for our siRNA drug candidate targeting HBsAg production, ALG</w:t>
        <w:noBreakHyphen/>
        <w:t xml:space="preserve">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materials for drug candidates we develop or other materials necessary to conduct clinical trials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disruptions by man-made or natural disasters or public health pandemics or epidemics or other business interruptions.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U.S. House of Representatives has passed the BIOSECURE Act and the Senate has advanced a substantially similar bill, which legislation, if passed and enacted into law, would have the potential to restrict the ability of U.S. biopharmaceutical companies like us to purchase services or products from, or otherwise collaborate with, certain Chinese biotechnology companies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concern” without losing the ability to contract with, or otherwise receive funding from, the U.S. government. We do business with companies in China and it is possible some of our contractual counterparties could be impacted by this legislation.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MASH is at an early stage and we may be unable to produce a therapy that successfully treats MASH.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pursuit of a treatment for MASH, including ALG-055009, our THR</w:t>
        <w:noBreakHyphen/>
        <w:t xml:space="preserve">ß agonist which is currently in a Phase 2a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successful and any of our drug candidates are approved for the treatment of MASH, our drug candidates will likely compete with products that have already been approved or may in the future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therapies for COVID-19 is at an early stage.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response to the outbreak of COVID-19, the disease caused by the virus SARS-CoV-2, we are pursuing various potential therapies to address the disease, including our drug candidate ALG-097558, an oral protease inhibitor which is currently in a Phase 1 trial. Our development of this potential therapy is at an early stage, and we may be unable to produce in a timely manner a therapy that successfully treats the virus or that has broad clinical applicability,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committing significant personnel to the development of ALG-097558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nonclinical studies and early-stage clinical trials may not be predictive of future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for participation in our clinical trials and, where appropriate, biopsies for future patient enrichment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remain in the trial through the completion of evaluation;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by man-made or natural disasters, or public health pandemics or epidemics or other business interruptions.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methods of drug candidate manufacturing or formulation may result in additional costs or delay.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drug candidates receives marketing approval and we or others later identify undesirable side effects caused by such products, a number of potentially significant negative consequences could occur,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adoption of a companion diagnostic and/or complementary diagnostic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 </w:t>
      </w:r>
    </w:p>
    <w:p>
      <w:pPr>
        <w:pStyle w:val="TextBody"/>
        <w:bidi w:val="0"/>
        <w:spacing w:before="240" w:after="283"/>
        <w:jc w:val="left"/>
        <w:rPr>
          <w:rFonts w:ascii="Times New Roman" w:hAnsi="Times New Roman"/>
          <w:sz w:val="20"/>
        </w:rPr>
      </w:pPr>
      <w:r>
        <w:rPr>
          <w:rFonts w:ascii="Times New Roman" w:hAnsi="Times New Roman"/>
          <w:b/>
          <w:i/>
          <w:color w:val="000000"/>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and Good Clinical Practice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and maintain approval for our drug candidates from the FDA, we may never obtain approval outside the United States, which would limit our market opportunities.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For example, we have or are currently conducting initial clinical trials for ALG-000184, ALG-055009 and ALG-097558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associated with our international operations, including seeking and obtaining approval to commercialize our drug candidates in foreign jurisdictions,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drug candidates in foreign countries, including challenging processes for marketing biopharmaceutical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and enforcement of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heightened or different data privacy and information security laws, regulations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compliance with tax, employment, immigration and labor laws for employees living or traveling abroad;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resulting from the impact of public health pandemics or epidemics (including, for example, the COVID-19 pandemic).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there are complex regulatory, tax, labor and other legal requirements imposed by many of the individual countries in which we may operate, with which we will need to comply. </w:t>
      </w:r>
    </w:p>
    <w:p>
      <w:pPr>
        <w:pStyle w:val="TextBody"/>
        <w:bidi w:val="0"/>
        <w:spacing w:before="24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believe or any approval we obtain is based on a narrower definition of the patient population, our business may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estimate, it could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 </w:t>
      </w:r>
    </w:p>
    <w:p>
      <w:pPr>
        <w:pStyle w:val="TextBody"/>
        <w:bidi w:val="0"/>
        <w:spacing w:before="240" w:after="283"/>
        <w:jc w:val="left"/>
        <w:rPr>
          <w:rFonts w:ascii="Times New Roman" w:hAnsi="Times New Roman"/>
          <w:sz w:val="20"/>
        </w:rPr>
      </w:pPr>
      <w:r>
        <w:rPr>
          <w:rFonts w:ascii="Times New Roman" w:hAnsi="Times New Roman"/>
          <w:b/>
          <w:i/>
          <w:color w:val="000000"/>
          <w:sz w:val="20"/>
        </w:rPr>
        <w:t>We intend to develop our current drug candidates, and expect to develop other future drug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 number of companies developing or marketing treatments for CHB, including Roche Holding AG (Roche), Gilead, Bristol-Myers Squibb Company, Arbutus Biopharma Corporation, Dicerna Pharmaceuticals, Inc. (together with Roche), Ionis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companies developing or marketing treatments for MASH, including AbbVie, Inc., AstraZeneca PLC/MedImmune LLC, Bristol-Myers Squibb Company, Eli Lilly and Company, Janssen, Merck, Novartis Pharmaceuticals Corporation (together with Pfizer, Inc.), Novo Nordisk A/S, Pfizer Inc., Roche, Sanofi S.A., Takeda Pharmaceutical Company Limited (together with HemoShear Therapeutics, LLC), 89bio, Inc., Akero Therapeutics, Inc., Cirius Therapeutics, Inc., Galectin Therapeutics Inc., Galmed Pharmaceuticals Ltd., Gilead, Intercept Pharmaceuticals, Inc., Inventiva Pharma SA, Sagimet Biosciences Inc., Madrigal Pharmaceuticals, Inc., MediciNova, Inc., and Viking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Smaller and other early stage companies may also prove to be significant competitors. In addition, academic research departments and public and private research institutions may be conducting research on compounds that could prove to be competitive.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ALG-000184, ALG</w:t>
        <w:noBreakHyphen/>
        <w:t xml:space="preserve">055009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does not assure ultimate approval by the FDA. In addition, even if a drug candidate we develop qualifies as a breakthrough therapy, the FDA may later decide that the drug no longer meets the conditions for qualification and rescind the designation.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drug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drug no longer meets the criteria for Orphan Drug Designation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make significant payments under our license agreements with Emory University, KU Leuven, and Luxna Biotech Co., Ltd.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License Agreement with Emory in June 2018 (the Emory License Agreement),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2023, previously filed with the SEC.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payments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effects to our results of operations and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drug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beginning January 1, 2024. The rebate was previously capped at 100% of a drug's average manufacturer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w:t>
      </w:r>
    </w:p>
    <w:p>
      <w:pPr>
        <w:pStyle w:val="TextBody"/>
        <w:bidi w:val="0"/>
        <w:spacing w:before="240" w:after="283"/>
        <w:jc w:val="left"/>
        <w:rPr>
          <w:rFonts w:ascii="Times New Roman" w:hAnsi="Times New Roman"/>
          <w:sz w:val="20"/>
        </w:rPr>
      </w:pPr>
      <w:r>
        <w:rPr>
          <w:rFonts w:ascii="Times New Roman" w:hAnsi="Times New Roman"/>
          <w:b/>
          <w:i/>
          <w:color w:val="000000"/>
          <w:sz w:val="20"/>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and abroad.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operate in countries outside of the United States, including Belgium,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may result in regulatory investigations, reputational damage, orders to cease/ change our data processing activities, enforcement notices, assessment notices (for a compulsory audit), civil claims (including class actions) and/or other administrative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such as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may suffer in the event that our information technology systems, or those used by our CROs or other contractors or consultants, fail or suffer security breaches.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security incidents. While we have not to our knowledge experienced any significant system failure or security breach to date, if such an event were to occur and 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pStyle w:val="TextBody"/>
        <w:bidi w:val="0"/>
        <w:spacing w:before="240" w:after="283"/>
        <w:jc w:val="left"/>
        <w:rPr>
          <w:rFonts w:ascii="Times New Roman" w:hAnsi="Times New Roman"/>
          <w:sz w:val="20"/>
        </w:rPr>
      </w:pPr>
      <w:bookmarkStart w:id="17" w:name="risks_related_to_reliance_on_third_parti"/>
      <w:bookmarkEnd w:id="17"/>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our current and future drug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(if any) or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our drug candidates, which would harm our business prospects,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be restricted under future collaboration agreements from entering into additional agreements on certain terms with potential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there have been a significant number of recent business combinations among large pharmaceutical companies that have resulted in a reduced number of potential future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conduct our ongoing and planned clinical trials and certain of our nonclinical studies for drug candidates we develop. If these third parties do not successfully carry out their contractual duties, comply with regulatory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requirements or meet expected deadlines, we may not be able to obtain marketing approval for or commercialize the drug candidates we are developing and our business could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noBreakHyphen/>
        <w:t>000184, ALG</w:t>
        <w:noBreakHyphen/>
        <w:t xml:space="preserve">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 House of Representatives has passed the BIOSECURE Act and the Senate has advanced a substantially similar bill,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for, healthcare benefits, items or services relating to healthcare matters. Similar to the federal Anti-Kickback Statute, a person or entity can be found guilty of violating HIPAA without actual knowledge of the statutes or specific intent to violate them;</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 </w:t>
      </w:r>
    </w:p>
    <w:p>
      <w:pPr>
        <w:pStyle w:val="TextBody"/>
        <w:bidi w:val="0"/>
        <w:spacing w:before="360" w:after="283"/>
        <w:jc w:val="left"/>
        <w:rPr>
          <w:rFonts w:ascii="Times New Roman" w:hAnsi="Times New Roman"/>
          <w:sz w:val="20"/>
        </w:rPr>
      </w:pPr>
      <w:bookmarkStart w:id="18" w:name="risks_related_to_intellectual_property"/>
      <w:bookmarkEnd w:id="18"/>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MASH programs,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do not own or in-license any issued patents with claims that specifically recite our ALG-097558 or ALG-125755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their upstream license agreements, and the upstream license agreements are consequently terminated, such termination may result in the termination of our sublicenses.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2023, previously filed with the SEC.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2023, previously filed with the SEC.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aware of certain third-party issued patents and pending patent applications, including those of our competitors, that, if issued with their current claim scope, may be construed to cover our drug candidates, including ALG</w:t>
        <w:noBreakHyphen/>
        <w:t xml:space="preserve">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fail to identify and correctly interpret relevant patents, we may be subject to infringement claims. We cannot guarantee that we will be able to successfully settle or otherwise resolve such infringement claims. If we fail in any such dispute,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establish our competitive position on our drug candidates for an adequate amount of time.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of future protection, if any,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intellectual property rights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directed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In order to commercialize any product, if approved, in the United States and foreign jurisdictions, we must build our marketing, sales, distribution, managerial and other non-technical capabilities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we had 68 full-time employees, including 52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enhancing our operational, financial and management controls, reporting systems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and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nonclinical studies or those of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drug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public health pandemics or epidemics;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active trading market for our shares may not be sustained. In the absence of an active trading market common stock, investors may not be able to sell their common stock at a price or at the time that they would like to sell.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inactive market may also impair our ability to raise capital by selling shares and may impair our ability to acquire other drug candidates, businesses, or technologies using our shares as consideration.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our executive officers, directors and their affiliates beneficially own, in the aggregate, approximately 66% of our outstanding common stock (assuming all shares of non-voting common stock are converted into voting common stock in accordance with the terms of our amended and restated certificate of incorporation), and 26% of our outstanding common stock (assuming all shares of non-voting common stock are converted to voting common stock and all pre-funded warrants are exercised in full on a cash exercise basis). In addition, in our October 2023 private placement, certain of the holders of 5% or more of our capital stock acquired pre-funded warrants to purchase shares of our common stock (which are immediately exercisable and have an exercise price of $0.0025 per share) and common warrants to purchase shares of our common stock (which are immediately exercisable and have an exercise price of $18.92 per share).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discouraging a potential acquirer from making a tender offer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b/>
          <w:i/>
          <w:color w:val="000000"/>
          <w:sz w:val="20"/>
        </w:rPr>
        <w:t>The dual class structure of our common stock may limit the ability to influence corporate matters and may limit the visibility with respect to certain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September 30, 2024, we had 123,693 shares of non-voting common stock outstanding. Additionally, stockholders who hold, in the aggregate, more than 10%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approximately 0.6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holders of approximately 6.3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404 of Sarbanes-Oxley, our management is required to report upon the effectiveness of our internal control over financial reporting for our fiscal year ended December 31, 2023.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24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primarily financed our operations through the sale of common stock, preferred stock, convertible notes, revenue from customer and collaboration agreements, and warrants.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continuing impact of "Brexit" may have a negative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Public health pandemics or epidemics, political instability, terrorist attacks, other acts of violence or war, or other unexpected events could materially and adversely impact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or future litigation or administrative proceedings could have a material adverse effect on our business, our financial condition and our results of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experience fluctuations in our tax obligations and effective tax rate, which could materially and adversely affect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we closed a private placement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9" w:name="item_2_unregistered_sales_equity_securit"/>
      <w:bookmarkEnd w:id="19"/>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an investor exercised a Pre-Funded Warrant to purchase an aggregate of 128,760 shares of Common stock for an aggregate purchase price of $321.90 and was issued 128,760 shares of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Issuer purchasers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20" w:name="item_3_defaults_upon_senior_securities"/>
      <w:bookmarkEnd w:id="20"/>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1" w:name="item_4_mine_safety_disclosures"/>
      <w:bookmarkEnd w:id="21"/>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22" w:name="item_5_or_information"/>
      <w:bookmarkEnd w:id="22"/>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September 30, 2024,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exhibits"/>
      <w:bookmarkEnd w:id="23"/>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6"/>
        <w:gridCol w:w="146"/>
        <w:gridCol w:w="5476"/>
        <w:gridCol w:w="146"/>
        <w:gridCol w:w="307"/>
        <w:gridCol w:w="146"/>
        <w:gridCol w:w="672"/>
        <w:gridCol w:w="146"/>
        <w:gridCol w:w="451"/>
        <w:gridCol w:w="146"/>
        <w:gridCol w:w="793"/>
        <w:gridCol w:w="691"/>
        <w:gridCol w:w="146"/>
        <w:gridCol w:w="193"/>
      </w:tblGrid>
      <w:tr>
        <w:trPr/>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46"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7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3" w:type="dxa"/>
            <w:vMerge w:val="restart"/>
            <w:tcBorders>
              <w:bottom w:val="single" w:sz="4" w:space="0" w:color="000000"/>
            </w:tcBorders>
            <w:tcMar>
              <w:top w:w="0" w:type="dxa"/>
              <w:left w:w="0" w:type="dxa"/>
              <w:right w:w="0" w:type="dxa"/>
            </w:tcMar>
            <w:vAlign w:val="center"/>
          </w:tcPr>
          <w:p>
            <w:pPr>
              <w:pStyle w:val="TableContents"/>
              <w:bidi w:val="0"/>
              <w:ind w:left="0" w:right="0" w:firstLine="12"/>
              <w:jc w:val="center"/>
              <w:rPr>
                <w:rFonts w:ascii="Times New Roman" w:hAnsi="Times New Roman"/>
                <w:b/>
                <w:color w:val="000000"/>
                <w:sz w:val="16"/>
              </w:rPr>
            </w:pPr>
            <w:r>
              <w:rPr>
                <w:rFonts w:ascii="Times New Roman" w:hAnsi="Times New Roman"/>
                <w:b/>
                <w:color w:val="000000"/>
                <w:sz w:val="16"/>
              </w:rPr>
              <w:t>Provided</w:t>
            </w:r>
          </w:p>
          <w:p>
            <w:pPr>
              <w:pStyle w:val="TableContents"/>
              <w:bidi w:val="0"/>
              <w:spacing w:before="0" w:after="283"/>
              <w:ind w:left="0" w:right="0" w:firstLine="12"/>
              <w:jc w:val="center"/>
              <w:rPr>
                <w:rFonts w:ascii="Times New Roman" w:hAnsi="Times New Roman"/>
                <w:b/>
                <w:color w:val="000000"/>
                <w:sz w:val="16"/>
              </w:rPr>
            </w:pPr>
            <w:r>
              <w:rPr>
                <w:rFonts w:ascii="Times New Roman" w:hAnsi="Times New Roman"/>
                <w:b/>
                <w:color w:val="000000"/>
                <w:sz w:val="16"/>
              </w:rPr>
              <w:t>Herewith</w:t>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7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ind w:left="0" w:right="0" w:firstLine="12"/>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 (a)</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hyperlink r:id="rId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 (b)</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 of Incorporation.</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6/28/2024</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 (c)</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w:t>
              </w:r>
            </w:hyperlink>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w:t>
              </w:r>
            </w:hyperlink>
            <w:hyperlink r:id="rId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8">
              <w:r>
                <w:rPr>
                  <w:rStyle w:val="InternetLink"/>
                  <w:rFonts w:ascii="Times New Roman" w:hAnsi="Times New Roman"/>
                  <w:color w:val="0000FF"/>
                  <w:sz w:val="20"/>
                  <w:u w:val="single"/>
                </w:rPr>
                <w:t>3.1</w:t>
              </w:r>
            </w:hyperlink>
            <w:r>
              <w:rPr>
                <w:rFonts w:ascii="Times New Roman" w:hAnsi="Times New Roman"/>
                <w:color w:val="000000"/>
                <w:sz w:val="20"/>
              </w:rPr>
              <w:t xml:space="preserve">(a), </w:t>
            </w:r>
            <w:hyperlink r:id="rId9">
              <w:r>
                <w:rPr>
                  <w:rStyle w:val="InternetLink"/>
                  <w:rFonts w:ascii="Times New Roman" w:hAnsi="Times New Roman"/>
                  <w:color w:val="0000FF"/>
                  <w:sz w:val="20"/>
                  <w:u w:val="single"/>
                </w:rPr>
                <w:t>3.1(b)</w:t>
              </w:r>
            </w:hyperlink>
            <w:r>
              <w:rPr>
                <w:rFonts w:ascii="Times New Roman" w:hAnsi="Times New Roman"/>
                <w:color w:val="000000"/>
                <w:sz w:val="20"/>
              </w:rPr>
              <w:t xml:space="preserve"> and </w:t>
            </w:r>
            <w:hyperlink r:id="rId10">
              <w:r>
                <w:rPr>
                  <w:rStyle w:val="InternetLink"/>
                  <w:rFonts w:ascii="Times New Roman" w:hAnsi="Times New Roman"/>
                  <w:color w:val="0000FF"/>
                  <w:sz w:val="20"/>
                  <w:u w:val="single"/>
                </w:rPr>
                <w:t>3.2</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4_2.htm">
              <w:r>
                <w:rPr>
                  <w:rStyle w:val="InternetLink"/>
                  <w:rFonts w:ascii="Times New Roman" w:hAnsi="Times New Roman"/>
                  <w:color w:val="0000FF"/>
                  <w:sz w:val="20"/>
                  <w:u w:val="single"/>
                </w:rPr>
                <w:t>Form of Common Stock Certificate.</w:t>
              </w:r>
            </w:hyperlink>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Warrant Agreement</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Pre-Funded Warrant Agreement</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10.1(a)#</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10_1a.htm">
              <w:r>
                <w:rPr>
                  <w:rStyle w:val="InternetLink"/>
                  <w:rFonts w:ascii="Times New Roman" w:hAnsi="Times New Roman"/>
                  <w:color w:val="0000FF"/>
                  <w:sz w:val="20"/>
                  <w:u w:val="single"/>
                </w:rPr>
                <w:t>2024 Employment Inducement Award Plan.</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10.1(b)#</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10_1b.htm">
              <w:r>
                <w:rPr>
                  <w:rStyle w:val="InternetLink"/>
                  <w:rFonts w:ascii="Times New Roman" w:hAnsi="Times New Roman"/>
                  <w:color w:val="0000FF"/>
                  <w:sz w:val="20"/>
                  <w:u w:val="single"/>
                </w:rPr>
                <w:t>Form of Stock Option Grant Notice and Stock Option Agreement.</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10_1c.htm">
              <w:r>
                <w:rPr>
                  <w:rStyle w:val="InternetLink"/>
                  <w:rFonts w:ascii="Times New Roman" w:hAnsi="Times New Roman"/>
                  <w:color w:val="0000FF"/>
                  <w:sz w:val="20"/>
                  <w:u w:val="single"/>
                </w:rPr>
                <w:t>Form of Restricted Stock Unit Award Grant Notice and Restricted Stock Unit Award Agreement.</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10_2.htm">
              <w:r>
                <w:rPr>
                  <w:rStyle w:val="InternetLink"/>
                  <w:rFonts w:ascii="Times New Roman" w:hAnsi="Times New Roman"/>
                  <w:color w:val="0000FF"/>
                  <w:sz w:val="20"/>
                  <w:u w:val="single"/>
                </w:rPr>
                <w:t>Employment Agreement by and between Aligos Therapeutics, Inc. and Hardean Achneck, MD, effective as of September 4, 2024</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10_3.htm">
              <w:r>
                <w:rPr>
                  <w:rStyle w:val="InternetLink"/>
                  <w:rFonts w:ascii="Times New Roman" w:hAnsi="Times New Roman"/>
                  <w:color w:val="0000FF"/>
                  <w:sz w:val="20"/>
                  <w:u w:val="single"/>
                </w:rPr>
                <w:t>Non-Employee Director Compensation Policy</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hyperlink w:anchor="alg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September 30, 2024 has been formatted in Inline XBRL.</w:t>
            </w:r>
          </w:p>
        </w:tc>
        <w:tc>
          <w:tcPr>
            <w:tcW w:w="146"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signatures"/>
      <w:bookmarkEnd w:id="24"/>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7124" w:type="dxa"/>
        <w:jc w:val="left"/>
        <w:tblInd w:w="0" w:type="dxa"/>
        <w:tblLayout w:type="fixed"/>
        <w:tblCellMar>
          <w:top w:w="28" w:type="dxa"/>
          <w:left w:w="28" w:type="dxa"/>
          <w:bottom w:w="28" w:type="dxa"/>
          <w:right w:w="28" w:type="dxa"/>
        </w:tblCellMar>
      </w:tblPr>
      <w:tblGrid>
        <w:gridCol w:w="2101"/>
        <w:gridCol w:w="326"/>
        <w:gridCol w:w="406"/>
        <w:gridCol w:w="4291"/>
      </w:tblGrid>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697" w:type="dxa"/>
            <w:gridSpan w:val="2"/>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ALIGOS THERAPEUTICS, INC.</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Lawrence Blatt,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President and Chief Executive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gs-ex4_2.htm"/>
      <w:bookmarkStart w:id="26" w:name="ksalgsex4_2"/>
      <w:bookmarkEnd w:id="25"/>
      <w:bookmarkEnd w:id="26"/>
      <w:r>
        <w:rPr>
          <w:rFonts w:ascii="Times New Roman" w:hAnsi="Times New Roman"/>
          <w:b/>
          <w:color w:val="000000"/>
          <w:sz w:val="20"/>
        </w:rPr>
        <w:t>Exhibit 4.2</w:t>
      </w:r>
      <w:r>
        <w:br w:type="page"/>
      </w:r>
    </w:p>
    <w:p>
      <w:pPr>
        <w:pStyle w:val="TextBody"/>
        <w:bidi w:val="0"/>
        <w:jc w:val="left"/>
        <w:rPr/>
      </w:pPr>
      <w:r>
        <w:rPr/>
        <w:t> </w:t>
      </w:r>
    </w:p>
    <w:p>
      <w:pPr>
        <w:pStyle w:val="TextBody"/>
        <w:bidi w:val="0"/>
        <w:jc w:val="center"/>
        <w:rPr/>
      </w:pPr>
      <w:r>
        <w:rPr/>
        <w:drawing>
          <wp:inline distT="0" distB="0" distL="0" distR="0">
            <wp:extent cx="9144000" cy="5953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9144000" cy="59531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SEE REVERSE FOR IMPORTANT NOTICE REGARDING OWNERSHIP AND TRANSFER RESTRICTIONS AND CERTAIN OTHER INFORMATION ALIGOS THERAPEUTICS INCORPORATED UNDER THE LAWS OF THE STATE OF DELAWARE COMMON STOCK CUSIP 01626L 20 4 SEE REVERSE FOR CERTAIN DEFINITIONS THIS CERTIFIES THAT SPECIMEN IS THE OWNER OF FULLY PAID AND NON-ASSESSABLE SHARES OF THE COMMON STOCK, $.0001 PAR VALUE, OF ALIGOS THERAPEUTICS, INC. transferable on the books of the Company in Person or by duly authorized attorney, upon surrender of this Certificate properly endorsed. This certificate and the shares represented hereby, are issued and shall be held subject to all the provisions of the Certificate of Incorporation, as amended, and the Bylawas, as amended, of the Company (copies of which are on file with the Company and with the Transfer Agent), to all of which each holder, by acceptance hereof, assents. This Certificate is not valid unless countersigned and registered by the Transfer Agent and Registrar, WITNESS the facsimile seal of the Company and the facsimile signatures of its duly authorized officers. Signature Secretary Chief Executive Officer 0000001 ALIGOS THERAPEUTICS, INC. CORPORATE SEAL 2018 DELAWARE COUNTERSIGNED AND REGISTERED: CONTINENTAL STOCK TRANSFER &amp; TRUST COMPANY (New York, N.Y.) TRANSFERAGENT AND REGISTRAR BY AUTHORIZED SIGNATURE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abbreviations, when used in the inscription on the face of this certificate, shall be construed as though they were written out in full according to applicable laws or regulations: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0"/>
        <w:gridCol w:w="3527"/>
        <w:gridCol w:w="200"/>
        <w:gridCol w:w="146"/>
        <w:gridCol w:w="1810"/>
        <w:gridCol w:w="1092"/>
        <w:gridCol w:w="984"/>
        <w:gridCol w:w="1566"/>
      </w:tblGrid>
      <w:tr>
        <w:trPr/>
        <w:tc>
          <w:tcPr>
            <w:tcW w:w="880"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880"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TEN COM</w:t>
            </w:r>
          </w:p>
        </w:tc>
        <w:tc>
          <w:tcPr>
            <w:tcW w:w="3527" w:type="dxa"/>
            <w:tcBorders/>
            <w:vAlign w:val="center"/>
          </w:tcPr>
          <w:p>
            <w:pPr>
              <w:pStyle w:val="TableContents"/>
              <w:bidi w:val="0"/>
              <w:spacing w:before="0" w:after="283"/>
              <w:jc w:val="left"/>
              <w:rPr>
                <w:color w:val="000000"/>
              </w:rPr>
            </w:pPr>
            <w:r>
              <w:rPr>
                <w:color w:val="000000"/>
              </w:rPr>
              <w:t xml:space="preserve">– </w:t>
            </w:r>
            <w:r>
              <w:rPr>
                <w:rFonts w:ascii="Arial" w:hAnsi="Arial"/>
                <w:color w:val="000000"/>
                <w:sz w:val="16"/>
              </w:rPr>
              <w:t>as tenants in common</w:t>
            </w:r>
          </w:p>
        </w:tc>
        <w:tc>
          <w:tcPr>
            <w:tcW w:w="2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right"/>
              <w:rPr>
                <w:rFonts w:ascii="Times New Roman" w:hAnsi="Times New Roman"/>
                <w:sz w:val="16"/>
              </w:rPr>
            </w:pPr>
            <w:r>
              <w:rPr>
                <w:rFonts w:ascii="Arial" w:hAnsi="Arial"/>
                <w:color w:val="000000"/>
                <w:sz w:val="16"/>
              </w:rPr>
              <w:t>UNIF GIFT MIN ACT –</w:t>
            </w:r>
            <w:r>
              <w:rPr>
                <w:rFonts w:ascii="Times New Roman" w:hAnsi="Times New Roman"/>
                <w:color w:val="000000"/>
                <w:sz w:val="16"/>
              </w:rPr>
              <w:t xml:space="preserve"> </w:t>
            </w:r>
          </w:p>
        </w:tc>
        <w:tc>
          <w:tcPr>
            <w:tcW w:w="10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Custodian ____________</w:t>
            </w:r>
          </w:p>
        </w:tc>
      </w:tr>
      <w:tr>
        <w:trPr/>
        <w:tc>
          <w:tcPr>
            <w:tcW w:w="880"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TEN ENT</w:t>
            </w:r>
          </w:p>
        </w:tc>
        <w:tc>
          <w:tcPr>
            <w:tcW w:w="3527" w:type="dxa"/>
            <w:tcBorders/>
            <w:vAlign w:val="center"/>
          </w:tcPr>
          <w:p>
            <w:pPr>
              <w:pStyle w:val="TableContents"/>
              <w:bidi w:val="0"/>
              <w:spacing w:before="0" w:after="283"/>
              <w:jc w:val="left"/>
              <w:rPr>
                <w:color w:val="000000"/>
              </w:rPr>
            </w:pPr>
            <w:r>
              <w:rPr>
                <w:color w:val="000000"/>
              </w:rPr>
              <w:t xml:space="preserve">– </w:t>
            </w:r>
            <w:r>
              <w:rPr>
                <w:rFonts w:ascii="Arial" w:hAnsi="Arial"/>
                <w:color w:val="000000"/>
                <w:sz w:val="16"/>
              </w:rPr>
              <w:t>as tenants by the entireties</w:t>
            </w:r>
          </w:p>
        </w:tc>
        <w:tc>
          <w:tcPr>
            <w:tcW w:w="2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(Cust)</w:t>
            </w:r>
          </w:p>
        </w:tc>
        <w:tc>
          <w:tcPr>
            <w:tcW w:w="984"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(Minor)</w:t>
            </w:r>
          </w:p>
        </w:tc>
      </w:tr>
      <w:tr>
        <w:trPr/>
        <w:tc>
          <w:tcPr>
            <w:tcW w:w="880" w:type="dxa"/>
            <w:tcBorders/>
            <w:vAlign w:val="center"/>
          </w:tcPr>
          <w:p>
            <w:pPr>
              <w:pStyle w:val="TableContents"/>
              <w:bidi w:val="0"/>
              <w:spacing w:before="40" w:after="283"/>
              <w:jc w:val="left"/>
              <w:rPr>
                <w:rFonts w:ascii="Arial" w:hAnsi="Arial"/>
                <w:color w:val="000000"/>
                <w:sz w:val="16"/>
              </w:rPr>
            </w:pPr>
            <w:r>
              <w:rPr>
                <w:rFonts w:ascii="Arial" w:hAnsi="Arial"/>
                <w:color w:val="000000"/>
                <w:sz w:val="16"/>
              </w:rPr>
              <w:t>JT TEN</w:t>
            </w:r>
          </w:p>
        </w:tc>
        <w:tc>
          <w:tcPr>
            <w:tcW w:w="3527" w:type="dxa"/>
            <w:tcBorders/>
            <w:vAlign w:val="center"/>
          </w:tcPr>
          <w:p>
            <w:pPr>
              <w:pStyle w:val="TableContents"/>
              <w:bidi w:val="0"/>
              <w:spacing w:before="40" w:after="283"/>
              <w:jc w:val="left"/>
              <w:rPr>
                <w:color w:val="000000"/>
              </w:rPr>
            </w:pPr>
            <w:r>
              <w:rPr>
                <w:color w:val="000000"/>
              </w:rPr>
              <w:t xml:space="preserve">– </w:t>
            </w:r>
            <w:r>
              <w:rPr>
                <w:rFonts w:ascii="Arial" w:hAnsi="Arial"/>
                <w:color w:val="000000"/>
                <w:sz w:val="16"/>
              </w:rPr>
              <w:t>as joint tenants with right of</w:t>
            </w:r>
          </w:p>
        </w:tc>
        <w:tc>
          <w:tcPr>
            <w:tcW w:w="200"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1810" w:type="dxa"/>
            <w:tcBorders/>
            <w:vAlign w:val="center"/>
          </w:tcPr>
          <w:p>
            <w:pPr>
              <w:pStyle w:val="TableContents"/>
              <w:bidi w:val="0"/>
              <w:spacing w:before="40" w:after="283"/>
              <w:jc w:val="left"/>
              <w:rPr/>
            </w:pPr>
            <w:r>
              <w:rPr/>
              <w:t> </w:t>
            </w:r>
          </w:p>
        </w:tc>
        <w:tc>
          <w:tcPr>
            <w:tcW w:w="3642" w:type="dxa"/>
            <w:gridSpan w:val="3"/>
            <w:tcBorders/>
            <w:vAlign w:val="center"/>
          </w:tcPr>
          <w:p>
            <w:pPr>
              <w:pStyle w:val="TableContents"/>
              <w:bidi w:val="0"/>
              <w:spacing w:before="40" w:after="283"/>
              <w:jc w:val="left"/>
              <w:rPr>
                <w:rFonts w:ascii="Arial" w:hAnsi="Arial"/>
                <w:color w:val="000000"/>
                <w:sz w:val="16"/>
              </w:rPr>
            </w:pPr>
            <w:r>
              <w:rPr>
                <w:rFonts w:ascii="Arial" w:hAnsi="Arial"/>
                <w:color w:val="000000"/>
                <w:sz w:val="16"/>
              </w:rPr>
              <w:t>under Uniform Gifts to Minors</w:t>
            </w:r>
          </w:p>
        </w:tc>
      </w:tr>
      <w:tr>
        <w:trPr/>
        <w:tc>
          <w:tcPr>
            <w:tcW w:w="880" w:type="dxa"/>
            <w:tcBorders/>
            <w:vAlign w:val="center"/>
          </w:tcPr>
          <w:p>
            <w:pPr>
              <w:pStyle w:val="TableContents"/>
              <w:bidi w:val="0"/>
              <w:spacing w:before="40" w:after="283"/>
              <w:jc w:val="left"/>
              <w:rPr/>
            </w:pPr>
            <w:r>
              <w:rPr/>
              <w:t> </w:t>
            </w:r>
          </w:p>
        </w:tc>
        <w:tc>
          <w:tcPr>
            <w:tcW w:w="3527" w:type="dxa"/>
            <w:tcBorders/>
            <w:vAlign w:val="center"/>
          </w:tcPr>
          <w:p>
            <w:pPr>
              <w:pStyle w:val="TableContents"/>
              <w:bidi w:val="0"/>
              <w:spacing w:before="40" w:after="283"/>
              <w:jc w:val="left"/>
              <w:rPr>
                <w:color w:val="000000"/>
              </w:rPr>
            </w:pPr>
            <w:r>
              <w:rPr>
                <w:color w:val="000000"/>
              </w:rPr>
              <w:t>   </w:t>
            </w:r>
            <w:r>
              <w:rPr>
                <w:rFonts w:ascii="Arial" w:hAnsi="Arial"/>
                <w:color w:val="000000"/>
                <w:sz w:val="16"/>
              </w:rPr>
              <w:t>survivorship and not as tenants</w:t>
            </w:r>
          </w:p>
        </w:tc>
        <w:tc>
          <w:tcPr>
            <w:tcW w:w="200"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1810" w:type="dxa"/>
            <w:tcBorders/>
            <w:vAlign w:val="center"/>
          </w:tcPr>
          <w:p>
            <w:pPr>
              <w:pStyle w:val="TableContents"/>
              <w:bidi w:val="0"/>
              <w:spacing w:before="40" w:after="283"/>
              <w:jc w:val="left"/>
              <w:rPr/>
            </w:pPr>
            <w:r>
              <w:rPr/>
              <w:t> </w:t>
            </w:r>
          </w:p>
        </w:tc>
        <w:tc>
          <w:tcPr>
            <w:tcW w:w="2076" w:type="dxa"/>
            <w:gridSpan w:val="2"/>
            <w:tcBorders/>
            <w:vAlign w:val="center"/>
          </w:tcPr>
          <w:p>
            <w:pPr>
              <w:pStyle w:val="TableContents"/>
              <w:bidi w:val="0"/>
              <w:spacing w:before="40" w:after="283"/>
              <w:jc w:val="left"/>
              <w:rPr>
                <w:rFonts w:ascii="Arial" w:hAnsi="Arial"/>
                <w:color w:val="000000"/>
                <w:sz w:val="16"/>
              </w:rPr>
            </w:pPr>
            <w:r>
              <w:rPr>
                <w:rFonts w:ascii="Arial" w:hAnsi="Arial"/>
                <w:color w:val="000000"/>
                <w:sz w:val="16"/>
              </w:rPr>
              <w:t>Act ___________________</w:t>
            </w:r>
          </w:p>
        </w:tc>
        <w:tc>
          <w:tcPr>
            <w:tcW w:w="1566" w:type="dxa"/>
            <w:tcBorders/>
            <w:vAlign w:val="center"/>
          </w:tcPr>
          <w:p>
            <w:pPr>
              <w:pStyle w:val="TableContents"/>
              <w:bidi w:val="0"/>
              <w:spacing w:before="40" w:after="283"/>
              <w:jc w:val="left"/>
              <w:rPr/>
            </w:pPr>
            <w:r>
              <w:rPr/>
              <w:t> </w:t>
            </w:r>
          </w:p>
        </w:tc>
      </w:tr>
      <w:tr>
        <w:trPr/>
        <w:tc>
          <w:tcPr>
            <w:tcW w:w="88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283"/>
              <w:jc w:val="left"/>
              <w:rPr>
                <w:color w:val="000000"/>
              </w:rPr>
            </w:pPr>
            <w:r>
              <w:rPr>
                <w:color w:val="000000"/>
              </w:rPr>
              <w:t>   </w:t>
            </w:r>
            <w:r>
              <w:rPr>
                <w:rFonts w:ascii="Arial" w:hAnsi="Arial"/>
                <w:color w:val="000000"/>
                <w:sz w:val="16"/>
              </w:rPr>
              <w:t>in common</w:t>
            </w:r>
          </w:p>
        </w:tc>
        <w:tc>
          <w:tcPr>
            <w:tcW w:w="2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2076" w:type="dxa"/>
            <w:gridSpan w:val="2"/>
            <w:tcBorders/>
            <w:vAlign w:val="center"/>
          </w:tcPr>
          <w:p>
            <w:pPr>
              <w:pStyle w:val="TableContents"/>
              <w:bidi w:val="0"/>
              <w:spacing w:before="0" w:after="283"/>
              <w:jc w:val="center"/>
              <w:rPr>
                <w:rFonts w:ascii="Arial" w:hAnsi="Arial"/>
                <w:color w:val="000000"/>
                <w:sz w:val="14"/>
              </w:rPr>
            </w:pPr>
            <w:r>
              <w:rPr>
                <w:rFonts w:ascii="Arial" w:hAnsi="Arial"/>
                <w:color w:val="000000"/>
                <w:sz w:val="14"/>
              </w:rPr>
              <w:t>(State)</w:t>
            </w:r>
          </w:p>
        </w:tc>
        <w:tc>
          <w:tcPr>
            <w:tcW w:w="1566" w:type="dxa"/>
            <w:tcBorders/>
            <w:vAlign w:val="center"/>
          </w:tcPr>
          <w:p>
            <w:pPr>
              <w:pStyle w:val="TableContents"/>
              <w:bidi w:val="0"/>
              <w:spacing w:before="0" w:after="283"/>
              <w:jc w:val="left"/>
              <w:rPr/>
            </w:pPr>
            <w:r>
              <w:rPr/>
              <w:t> </w:t>
            </w:r>
          </w:p>
        </w:tc>
      </w:tr>
      <w:tr>
        <w:trPr/>
        <w:tc>
          <w:tcPr>
            <w:tcW w:w="880"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TTEE</w:t>
            </w:r>
          </w:p>
        </w:tc>
        <w:tc>
          <w:tcPr>
            <w:tcW w:w="3727" w:type="dxa"/>
            <w:gridSpan w:val="2"/>
            <w:tcBorders/>
            <w:vAlign w:val="center"/>
          </w:tcPr>
          <w:p>
            <w:pPr>
              <w:pStyle w:val="TableContents"/>
              <w:bidi w:val="0"/>
              <w:spacing w:before="0" w:after="283"/>
              <w:jc w:val="left"/>
              <w:rPr>
                <w:color w:val="000000"/>
              </w:rPr>
            </w:pPr>
            <w:r>
              <w:rPr>
                <w:color w:val="000000"/>
              </w:rPr>
              <w:t xml:space="preserve">– </w:t>
            </w:r>
            <w:r>
              <w:rPr>
                <w:rFonts w:ascii="Arial" w:hAnsi="Arial"/>
                <w:color w:val="000000"/>
                <w:sz w:val="16"/>
              </w:rPr>
              <w:t>trustee under Agreement dated _____________</w:t>
            </w:r>
          </w:p>
        </w:tc>
        <w:tc>
          <w:tcPr>
            <w:tcW w:w="146"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 </w:t>
            </w:r>
          </w:p>
        </w:tc>
      </w:tr>
      <w:tr>
        <w:trPr/>
        <w:tc>
          <w:tcPr>
            <w:tcW w:w="88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0"/>
        <w:gridCol w:w="1413"/>
        <w:gridCol w:w="1413"/>
        <w:gridCol w:w="810"/>
        <w:gridCol w:w="810"/>
        <w:gridCol w:w="810"/>
        <w:gridCol w:w="810"/>
        <w:gridCol w:w="2579"/>
      </w:tblGrid>
      <w:tr>
        <w:trPr/>
        <w:tc>
          <w:tcPr>
            <w:tcW w:w="15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center"/>
              <w:rPr>
                <w:rFonts w:ascii="Arial" w:hAnsi="Arial"/>
                <w:color w:val="000000"/>
                <w:sz w:val="20"/>
              </w:rPr>
            </w:pPr>
            <w:r>
              <w:rPr>
                <w:rFonts w:ascii="Arial" w:hAnsi="Arial"/>
                <w:color w:val="000000"/>
                <w:sz w:val="20"/>
              </w:rPr>
              <w:t>Additional abbreviations may also be used though not in the above list.</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ind w:left="0" w:right="0" w:firstLine="504"/>
              <w:jc w:val="left"/>
              <w:rPr/>
            </w:pPr>
            <w:r>
              <w:rPr/>
              <w:t> </w:t>
            </w:r>
          </w:p>
        </w:tc>
      </w:tr>
      <w:tr>
        <w:trPr/>
        <w:tc>
          <w:tcPr>
            <w:tcW w:w="10205" w:type="dxa"/>
            <w:gridSpan w:val="8"/>
            <w:tcBorders/>
            <w:vAlign w:val="center"/>
          </w:tcPr>
          <w:p>
            <w:pPr>
              <w:pStyle w:val="TableContents"/>
              <w:bidi w:val="0"/>
              <w:spacing w:before="0" w:after="283"/>
              <w:ind w:left="0" w:right="0" w:firstLine="504"/>
              <w:jc w:val="left"/>
              <w:rPr>
                <w:rFonts w:ascii="Arial" w:hAnsi="Arial"/>
                <w:color w:val="000000"/>
                <w:sz w:val="24"/>
              </w:rPr>
            </w:pPr>
            <w:r>
              <w:rPr>
                <w:rFonts w:ascii="Arial" w:hAnsi="Arial"/>
                <w:color w:val="000000"/>
                <w:sz w:val="24"/>
              </w:rPr>
              <w:t>For value received, ___________________hereby sell, assign and transfer unto</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4386" w:type="dxa"/>
            <w:gridSpan w:val="3"/>
            <w:tcBorders/>
            <w:vAlign w:val="center"/>
          </w:tcPr>
          <w:p>
            <w:pPr>
              <w:pStyle w:val="TableContents"/>
              <w:bidi w:val="0"/>
              <w:spacing w:before="0" w:after="283"/>
              <w:jc w:val="center"/>
              <w:rPr>
                <w:rFonts w:ascii="Arial" w:hAnsi="Arial"/>
                <w:color w:val="000000"/>
                <w:sz w:val="18"/>
              </w:rPr>
            </w:pPr>
            <w:r>
              <w:rPr>
                <w:rFonts w:ascii="Arial" w:hAnsi="Arial"/>
                <w:color w:val="000000"/>
                <w:sz w:val="18"/>
              </w:rPr>
              <w:t>PLEASE INSERT SOCIAL SECURITY OR OTHER</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438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IDENTYFYING NUMBER OF ASSIGNEE</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560"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560"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5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center"/>
              <w:rPr>
                <w:rFonts w:ascii="Arial" w:hAnsi="Arial"/>
                <w:color w:val="000000"/>
                <w:sz w:val="18"/>
              </w:rPr>
            </w:pPr>
            <w:r>
              <w:rPr>
                <w:rFonts w:ascii="Arial" w:hAnsi="Arial"/>
                <w:color w:val="000000"/>
                <w:sz w:val="18"/>
              </w:rPr>
              <w:t>PLEASE PRINT OR TYPEWRITE NAME AND ADDRESS INCLUDING POSTAL ZIP CODE OF ASSIGNEE.</w:t>
            </w:r>
          </w:p>
        </w:tc>
      </w:tr>
      <w:tr>
        <w:trPr/>
        <w:tc>
          <w:tcPr>
            <w:tcW w:w="15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5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60"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2579" w:type="dxa"/>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left"/>
              <w:rPr>
                <w:rFonts w:ascii="Times New Roman" w:hAnsi="Times New Roman"/>
                <w:sz w:val="24"/>
              </w:rPr>
            </w:pPr>
            <w:r>
              <w:rPr>
                <w:rFonts w:ascii="Arial" w:hAnsi="Arial"/>
                <w:color w:val="000000"/>
                <w:sz w:val="20"/>
              </w:rPr>
              <w:t>___________________________________________________________________________________</w:t>
            </w:r>
            <w:r>
              <w:rPr>
                <w:rFonts w:ascii="Arial" w:hAnsi="Arial"/>
                <w:color w:val="000000"/>
                <w:sz w:val="24"/>
              </w:rPr>
              <w:t>Shares of the common stock represented by this certificate and do hereby irrevocably constitutes and appoint</w:t>
            </w:r>
            <w:r>
              <w:rPr>
                <w:rFonts w:ascii="Times New Roman" w:hAnsi="Times New Roman"/>
                <w:color w:val="000000"/>
                <w:sz w:val="24"/>
              </w:rPr>
              <w:t> </w:t>
            </w:r>
            <w:r>
              <w:rPr>
                <w:rFonts w:ascii="Arial" w:hAnsi="Arial"/>
                <w:color w:val="000000"/>
                <w:sz w:val="20"/>
              </w:rPr>
              <w:t>__________________________________________________________________________________</w:t>
            </w:r>
          </w:p>
        </w:tc>
      </w:tr>
      <w:tr>
        <w:trPr/>
        <w:tc>
          <w:tcPr>
            <w:tcW w:w="10205" w:type="dxa"/>
            <w:gridSpan w:val="8"/>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___________________________________________________________________________________________________ ,</w:t>
            </w:r>
          </w:p>
        </w:tc>
      </w:tr>
      <w:tr>
        <w:trPr/>
        <w:tc>
          <w:tcPr>
            <w:tcW w:w="10205" w:type="dxa"/>
            <w:gridSpan w:val="8"/>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left"/>
              <w:rPr>
                <w:rFonts w:ascii="Arial" w:hAnsi="Arial"/>
                <w:color w:val="000000"/>
                <w:sz w:val="24"/>
              </w:rPr>
            </w:pPr>
            <w:r>
              <w:rPr>
                <w:rFonts w:ascii="Arial" w:hAnsi="Arial"/>
                <w:color w:val="000000"/>
                <w:sz w:val="24"/>
              </w:rPr>
              <w:t>Attorney, to transfer the said stock on the books of the within-named Corporation with full power of substitution in the premises.</w:t>
            </w:r>
          </w:p>
        </w:tc>
      </w:tr>
      <w:tr>
        <w:trPr/>
        <w:tc>
          <w:tcPr>
            <w:tcW w:w="10205" w:type="dxa"/>
            <w:gridSpan w:val="8"/>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left"/>
              <w:rPr>
                <w:rFonts w:ascii="Times New Roman" w:hAnsi="Times New Roman"/>
                <w:sz w:val="24"/>
              </w:rPr>
            </w:pPr>
            <w:r>
              <w:rPr>
                <w:rFonts w:ascii="Arial" w:hAnsi="Arial"/>
                <w:color w:val="000000"/>
                <w:sz w:val="24"/>
              </w:rPr>
              <w:t>DATED</w:t>
            </w:r>
            <w:r>
              <w:rPr>
                <w:rFonts w:ascii="Times New Roman" w:hAnsi="Times New Roman"/>
                <w:color w:val="000000"/>
                <w:sz w:val="24"/>
              </w:rPr>
              <w:t> </w:t>
            </w:r>
            <w:r>
              <w:rPr>
                <w:rFonts w:ascii="Arial" w:hAnsi="Arial"/>
                <w:color w:val="000000"/>
                <w:sz w:val="20"/>
              </w:rPr>
              <w:t>_________________________</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044"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00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0044" w:type="dxa"/>
            <w:tcBorders/>
            <w:vAlign w:val="center"/>
          </w:tcPr>
          <w:p>
            <w:pPr>
              <w:pStyle w:val="TableContents"/>
              <w:bidi w:val="0"/>
              <w:spacing w:before="0" w:after="283"/>
              <w:jc w:val="left"/>
              <w:rPr>
                <w:rFonts w:ascii="Arial" w:hAnsi="Arial"/>
                <w:color w:val="000000"/>
                <w:sz w:val="14"/>
              </w:rPr>
            </w:pPr>
            <w:r>
              <w:rPr>
                <w:rFonts w:ascii="Arial" w:hAnsi="Arial"/>
                <w:color w:val="000000"/>
                <w:sz w:val="14"/>
              </w:rPr>
              <w:t>NOTICE: The signature to this assignment must correspond with the name as written upon the face of the certificate in every particular without alteration or enlargement or any change whatsoever.</w:t>
            </w:r>
          </w:p>
        </w:tc>
      </w:tr>
      <w:tr>
        <w:trPr/>
        <w:tc>
          <w:tcPr>
            <w:tcW w:w="161" w:type="dxa"/>
            <w:tcBorders/>
            <w:vAlign w:val="center"/>
          </w:tcPr>
          <w:p>
            <w:pPr>
              <w:pStyle w:val="TableContents"/>
              <w:bidi w:val="0"/>
              <w:spacing w:before="0" w:after="283"/>
              <w:jc w:val="left"/>
              <w:rPr/>
            </w:pPr>
            <w:r>
              <w:rPr/>
              <w:t> </w:t>
            </w:r>
          </w:p>
        </w:tc>
        <w:tc>
          <w:tcPr>
            <w:tcW w:w="10044" w:type="dxa"/>
            <w:tcBorders/>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SIGNATURE GUARANTEED:</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0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rFonts w:ascii="Arial" w:hAnsi="Arial"/>
                <w:color w:val="000000"/>
                <w:sz w:val="14"/>
              </w:rPr>
            </w:pPr>
            <w:r>
              <w:rPr>
                <w:rFonts w:ascii="Arial" w:hAnsi="Arial"/>
                <w:color w:val="000000"/>
                <w:sz w:val="14"/>
              </w:rPr>
              <w:t>THE SIGNATURE(S) SHOULD BE GUARANTEED BY AN ELIGIBLE GUARANTOR INSTITUTION, (BANKS, STOCKBROKERS, SAVING AND LOAN ASSOCIATIONS AND CREDIT UNIONS WITH MEMBERSHIP IN AN APPROVED SIGNATURE GUARANTEE MEDALLION PROGRAM), PURSUANT TO S.E.C. RULE 17Ad-15.</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lgs-ex10_2.htm"/>
      <w:bookmarkStart w:id="28" w:name="ksalgsex10_2"/>
      <w:bookmarkEnd w:id="27"/>
      <w:bookmarkEnd w:id="28"/>
      <w:r>
        <w:rPr/>
        <w:t> </w:t>
      </w:r>
      <w:r>
        <w:br w:type="page"/>
      </w:r>
    </w:p>
    <w:p>
      <w:pPr>
        <w:pStyle w:val="TextBody"/>
        <w:bidi w:val="0"/>
        <w:jc w:val="left"/>
        <w:rPr>
          <w:rFonts w:ascii="Times New Roman" w:hAnsi="Times New Roman"/>
          <w:smallCaps/>
          <w:color w:val="000000"/>
          <w:sz w:val="22"/>
        </w:rPr>
      </w:pPr>
      <w:r>
        <w:rPr>
          <w:rFonts w:ascii="Times New Roman" w:hAnsi="Times New Roman"/>
          <w:smallCaps/>
          <w:color w:val="000000"/>
          <w:sz w:val="22"/>
        </w:rPr>
        <w:t>Aligos Therapeutics, Inc.</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September 4, 2024</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Dear Hardean:</w:t>
      </w:r>
    </w:p>
    <w:p>
      <w:pPr>
        <w:pStyle w:val="TextBody"/>
        <w:bidi w:val="0"/>
        <w:spacing w:before="276" w:after="283"/>
        <w:jc w:val="both"/>
        <w:rPr>
          <w:rFonts w:ascii="Times New Roman" w:hAnsi="Times New Roman"/>
          <w:sz w:val="20"/>
        </w:rPr>
      </w:pPr>
      <w:r>
        <w:rPr>
          <w:rFonts w:ascii="Times New Roman" w:hAnsi="Times New Roman"/>
          <w:color w:val="000000"/>
          <w:sz w:val="24"/>
        </w:rPr>
        <w:t>As you have indicated an interest in joining Aligos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 am pleased to offer you full-time employment in the regular exempt position of Executive Vice President, Chief Medical Officer effective as of your initial date of employment, which is currently anticipated to be on or about September 23, 2024, in which you will be responsible for such duties as are normally associated with such position or as otherwise determined by your supervisor. You will report to Lawrence Blatt, President &amp; Chief Executive Officer, or such other individual as the Company may designate, and will be initially headquartered in our offices located in South San Francisco, California, except for such travel as may be necessary to fulfill your responsibilities. In the course of your employment with Company, you will be subject to and required to comply with all Company policies, and applicable laws and regulations.</w:t>
      </w:r>
    </w:p>
    <w:p>
      <w:pPr>
        <w:pStyle w:val="TextBody"/>
        <w:bidi w:val="0"/>
        <w:spacing w:before="273" w:after="283"/>
        <w:jc w:val="left"/>
        <w:rPr>
          <w:rFonts w:ascii="Times New Roman" w:hAnsi="Times New Roman"/>
          <w:color w:val="000000"/>
          <w:sz w:val="24"/>
        </w:rPr>
      </w:pPr>
      <w:r>
        <w:rPr>
          <w:rFonts w:ascii="Times New Roman" w:hAnsi="Times New Roman"/>
          <w:color w:val="000000"/>
          <w:sz w:val="24"/>
        </w:rPr>
        <w:t>You will be paid a base salary at the annual rate of $495,000.00 (subject to required tax withholding and other authorized deductions). Your base salary will be payable in accordance with the Company’s standard payroll policies and subject to adjustment pursuant to the Company’s policies as in effect from time to time. In addition to your base salary, you may be eligible to earn an annual cash performance bonus, at the discretion of the Board of Directors, based on the attainment of performance metrics and/or individual performance objectives, in each case established and evaluated by the Company in its sole discretion. Your target annual bonus shall be 40% of your base salary, but the actual amount of your annual bonus may be more or less (and may equal zero), depending on the attainment of applicable performance criteria.</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Such annual bonus shall be paid within two and a half months following the year to which the annual bonus relates and will be contingent upon your continued employment through the end of the year to which the annual bonus relates. You hereby acknowledge and agree that nothing contained herein confers upon you any right to an annual bonus in any year, and that whether the Company pays you an annual bonus and the amount of any such annual bonus will be determined by the Company in its sole discretion.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connection with entering into this offer letter, following the commencement of your employment with the Company, the Company will recommend to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that it grant you an option to purchase 75,000 shares of the Company’s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80" w:after="283"/>
        <w:jc w:val="both"/>
        <w:rPr>
          <w:rFonts w:ascii="Times New Roman" w:hAnsi="Times New Roman"/>
          <w:sz w:val="20"/>
        </w:rPr>
      </w:pPr>
      <w:r>
        <w:rPr>
          <w:rFonts w:ascii="Times New Roman" w:hAnsi="Times New Roman"/>
          <w:color w:val="000000"/>
          <w:sz w:val="24"/>
        </w:rPr>
        <w:t>common stock (the “</w:t>
      </w:r>
      <w:r>
        <w:rPr>
          <w:rFonts w:ascii="Times New Roman" w:hAnsi="Times New Roman"/>
          <w:color w:val="000000"/>
          <w:sz w:val="24"/>
          <w:u w:val="single"/>
        </w:rPr>
        <w:t>Stock Option</w:t>
      </w:r>
      <w:r>
        <w:rPr>
          <w:rFonts w:ascii="Times New Roman" w:hAnsi="Times New Roman"/>
          <w:color w:val="000000"/>
          <w:sz w:val="20"/>
        </w:rPr>
        <w:t>”</w:t>
      </w:r>
      <w:r>
        <w:rPr>
          <w:rFonts w:ascii="Times New Roman" w:hAnsi="Times New Roman"/>
          <w:color w:val="000000"/>
          <w:sz w:val="24"/>
        </w:rPr>
        <w:t>) at a per share exercise price equal to the fair market value of a share of the Company’s common stock on the date of grant (as determined by the Board in its sole discretion), provided that you are employed by the Company on the date of grant. Subject to your continued employment with the Company through the applicable vesting date, 25% of the shares underlying the Stock Option will vest on the first anniversary of the date you commence employment with the Company and 1/48th of the total number of shares initially underlying the Stock Option will vest on each monthly anniversary thereafter. The Stock Option will otherwise be subject to the terms and conditions of the applicable equity plan (as amended,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a stock option agreement to be entered into between you and the Company (the “</w:t>
      </w:r>
      <w:r>
        <w:rPr>
          <w:rFonts w:ascii="Times New Roman" w:hAnsi="Times New Roman"/>
          <w:color w:val="000000"/>
          <w:sz w:val="24"/>
          <w:u w:val="single"/>
        </w:rPr>
        <w:t>Stock Option</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4"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You will be eligible to participate in all of the employee benefits and benefit plans that the Company generally makes available to its regular full-time employees, including group health plans, life, disability and AD&amp;D insurances, and a 401k Plan. Any Sign-on and/or retention bonuses received are NOT eligible for 401k deductions or employer match.</w:t>
      </w:r>
    </w:p>
    <w:p>
      <w:pPr>
        <w:pStyle w:val="TextBody"/>
        <w:bidi w:val="0"/>
        <w:spacing w:before="2"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addition, during your employment, you will be eligible for other standard benefits, such as paid time off and holidays to the extent applicable generally to other similarly situated employees of the Company. Upon commencement of your employment, you will accrue paid time off at the rate of 13.33 hours per month (i.e., 4 weeks per year) plus 40 hours of paid sick leave each calendar year. The Company reserves the right to terminate, modify or add to its benefits and benefit plans at any time.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will also be covered under the Executive Change in Control and Severance Agreement and the Indemnification Agreement, copies of which are attached hereto, to be entered into upon commencement of your employment.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requires that, as a full-time employee, you devote your full business time, attention, skill, and efforts to the tasks and duties of your position as assigned by the Company. If you wish to request consent to provide services (for any or no form of compensation) to any other person or business entity while employed by the Company, please discuss that with me in advance of accepting another position.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a condition of employment, you will be required to (1) sign and comply with a Proprietary Information and Invention Assignment Agreement, a copy of which is attached hereto as Exhibit A, which, among other things, prohibits unauthorized use or disclosure of Company proprietary information, (2) execute a satisfactory I-9 Immigration form and provide sufficient documentation establishing your employment eligibility in the United States of America, and (3) provide satisfactory proof of your identity as required by United States law. This offer, and any employment pursuant to this offer, is also conditioned upon your consent to, and results satisfactory to the Company of reference and background checks. Until you have been informed in writing by Company that such checks have been completed and the results found satisfactory, you may wish to defer reliance on this offer.</w:t>
      </w:r>
    </w:p>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signing below, you represent that your performance of services to the Company will not violate any duty which you may have to any other person or entity (such as a present or former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employer), including obligations concerning providing services (whether or not competitive) to others, confidentiality of proprietary information and assignment of inventions, ideas, patents or copyrights, and you agree that you will not do anything in the performance of services hereunder that would violate any such duty.</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Notwithstanding any of the above, your employment with the Company is “at will”. This means that it is not for any specified period of time and can be terminated by you or by the Company at any time, with or without advance notice, and for any or no particular reason or cause. It also means that your job duties, title and responsibility and reporting level, work schedule, compensation and benefits, as well as the Company’s personnel policies and procedures, may be changed with prospective effect, with or without notice, at any time in the sole discretion of the Company. This “at-will” nature of your employment shall remain unchanged during your tenure as an employee and may not be changed, except in an express writing signed by you and me as the President of the Company.</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you accept this offer, this letter and the Proprietary Information and Invention Assignment Agreement shall constitute the complete agreement between you and Company with respect to the terms and conditions of your employment. Any prior or contemporaneous representations (whether oral or written) not contained in this letter or the Proprietary Information and Invention Assignment Agreement or contrary to those contained in this letter or the Proprietary Information and Invention Assignment Agreement, that may have been made to you are expressly cancelled and superseded by this offer. This offer letter shall be interpreted and construed in accordance with California law without regard to any conflicts of laws principles.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Please sign and date this letter and the Proprietary Information and Invention Assignment Agreement, and return it to Shannon Stakes at #######</w:t>
      </w:r>
      <w:r>
        <w:rPr>
          <w:rFonts w:ascii="Times New Roman" w:hAnsi="Times New Roman"/>
          <w:sz w:val="24"/>
        </w:rPr>
        <w:t>@aligos.com</w:t>
      </w:r>
      <w:r>
        <w:rPr>
          <w:rFonts w:ascii="Times New Roman" w:hAnsi="Times New Roman"/>
          <w:color w:val="000000"/>
          <w:sz w:val="20"/>
        </w:rPr>
        <w:t xml:space="preserve"> </w:t>
      </w:r>
      <w:r>
        <w:rPr>
          <w:rFonts w:ascii="Times New Roman" w:hAnsi="Times New Roman"/>
          <w:color w:val="000000"/>
          <w:sz w:val="24"/>
        </w:rPr>
        <w:t>if you wish to accept this offer of employment at the Company under the terms described above, by Friday, September 6, 2024 after which time this offer of employment will expire. If you accept our offer, we would like you to commence your employment with us on or about Monday, September 23, 2024.</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We look forward to your favorable reply and to a productive and enjoyable work relationship.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Aligos Therapeutics,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Lawrence Blatt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Lawrence Blatt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President &amp; CEO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Accepted by:</w:t>
      </w:r>
    </w:p>
    <w:p>
      <w:pPr>
        <w:pStyle w:val="TextBody"/>
        <w:bidi w:val="0"/>
        <w:spacing w:before="73" w:after="283"/>
        <w:jc w:val="left"/>
        <w:rPr>
          <w:rFonts w:ascii="Times New Roman" w:hAnsi="Times New Roman"/>
          <w:color w:val="000000"/>
          <w:sz w:val="24"/>
          <w:u w:val="single"/>
        </w:rPr>
      </w:pPr>
      <w:r>
        <w:rPr>
          <w:rFonts w:ascii="Times New Roman" w:hAnsi="Times New Roman"/>
          <w:color w:val="000000"/>
          <w:sz w:val="24"/>
          <w:u w:val="single"/>
        </w:rPr>
        <w:t>/s/ Hardean Achneck</w:t>
      </w:r>
    </w:p>
    <w:p>
      <w:pPr>
        <w:pStyle w:val="TextBody"/>
        <w:bidi w:val="0"/>
        <w:spacing w:before="6" w:after="283"/>
        <w:jc w:val="left"/>
        <w:rPr/>
      </w:pPr>
      <w:r>
        <w:rPr/>
        <w:t> </w:t>
      </w:r>
    </w:p>
    <w:p>
      <w:pPr>
        <w:pStyle w:val="TextBody"/>
        <w:bidi w:val="0"/>
        <w:spacing w:before="13" w:after="283"/>
        <w:jc w:val="left"/>
        <w:rPr>
          <w:rFonts w:ascii="Times New Roman" w:hAnsi="Times New Roman"/>
          <w:color w:val="000000"/>
          <w:sz w:val="24"/>
        </w:rPr>
      </w:pPr>
      <w:r>
        <w:rPr>
          <w:rFonts w:ascii="Times New Roman" w:hAnsi="Times New Roman"/>
          <w:color w:val="000000"/>
          <w:sz w:val="24"/>
        </w:rPr>
        <w:t>Hardean Achneck</w:t>
      </w:r>
    </w:p>
    <w:p>
      <w:pPr>
        <w:pStyle w:val="TextBody"/>
        <w:bidi w:val="0"/>
        <w:spacing w:before="9" w:after="283"/>
        <w:jc w:val="left"/>
        <w:rPr/>
      </w:pPr>
      <w:r>
        <w:rPr/>
        <w:t> </w:t>
      </w:r>
    </w:p>
    <w:p>
      <w:pPr>
        <w:pStyle w:val="TextBody"/>
        <w:bidi w:val="0"/>
        <w:spacing w:before="2" w:after="283"/>
        <w:jc w:val="left"/>
        <w:rPr>
          <w:rFonts w:ascii="Times New Roman" w:hAnsi="Times New Roman"/>
          <w:color w:val="000000"/>
          <w:sz w:val="19"/>
          <w:u w:val="single"/>
        </w:rPr>
      </w:pPr>
      <w:r>
        <w:rPr>
          <w:rFonts w:ascii="Times New Roman" w:hAnsi="Times New Roman"/>
          <w:color w:val="000000"/>
          <w:sz w:val="19"/>
          <w:u w:val="single"/>
        </w:rPr>
        <w:t>2024/09/04</w:t>
      </w:r>
    </w:p>
    <w:p>
      <w:pPr>
        <w:pStyle w:val="TextBody"/>
        <w:bidi w:val="0"/>
        <w:spacing w:before="13" w:after="283"/>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9" w:name="algs-ex10_3.htm"/>
      <w:bookmarkStart w:id="30" w:name="ksalgsex10_3"/>
      <w:bookmarkEnd w:id="29"/>
      <w:bookmarkEnd w:id="30"/>
      <w:r>
        <w:rPr>
          <w:rFonts w:ascii="Times New Roman" w:hAnsi="Times New Roman"/>
          <w:color w:val="000000"/>
          <w:sz w:val="24"/>
        </w:rPr>
        <w:t>Exhibit 10.3</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ALIGOS THERAPEUTICS, INC.</w:t>
        <w:br/>
        <w:t>NON-EMPLOYEE DIRECTOR COMPENSATION PROGRAM</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(As Amended Effective: October 16, 2024)</w:t>
      </w:r>
    </w:p>
    <w:p>
      <w:pPr>
        <w:pStyle w:val="TextBody"/>
        <w:bidi w:val="0"/>
        <w:spacing w:before="0" w:after="240"/>
        <w:jc w:val="both"/>
        <w:rPr>
          <w:rFonts w:ascii="Times New Roman" w:hAnsi="Times New Roman"/>
          <w:sz w:val="20"/>
        </w:rPr>
      </w:pPr>
      <w:r>
        <w:rPr>
          <w:rFonts w:ascii="Times New Roman" w:hAnsi="Times New Roman"/>
          <w:color w:val="000000"/>
          <w:sz w:val="24"/>
        </w:rPr>
        <w:t>This Aligos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Non-Employee Director Compensation Program (this “</w:t>
      </w:r>
      <w:r>
        <w:rPr>
          <w:rFonts w:ascii="Times New Roman" w:hAnsi="Times New Roman"/>
          <w:b/>
          <w:i/>
          <w:color w:val="000000"/>
          <w:sz w:val="24"/>
        </w:rPr>
        <w:t>Program</w:t>
      </w:r>
      <w:r>
        <w:rPr>
          <w:rFonts w:ascii="Times New Roman" w:hAnsi="Times New Roman"/>
          <w:color w:val="000000"/>
          <w:sz w:val="20"/>
        </w:rPr>
        <w:t>”</w:t>
      </w:r>
      <w:r>
        <w:rPr>
          <w:rFonts w:ascii="Times New Roman" w:hAnsi="Times New Roman"/>
          <w:color w:val="000000"/>
          <w:sz w:val="24"/>
        </w:rPr>
        <w:t>) has been adopted under the Company’s 2020 Incentive Award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has been amended as of October 16, 2024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Capitalized terms not otherwise defined herein shall have the meaning ascribed in the Plan.</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Cash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the Effective Date, annual retainers will be paid in the following amounts to Non-Employee Directors:</w:t>
      </w:r>
    </w:p>
    <w:tbl>
      <w:tblPr>
        <w:tblW w:w="7982" w:type="dxa"/>
        <w:jc w:val="left"/>
        <w:tblInd w:w="0" w:type="dxa"/>
        <w:tblLayout w:type="fixed"/>
        <w:tblCellMar>
          <w:top w:w="28" w:type="dxa"/>
          <w:left w:w="28" w:type="dxa"/>
          <w:bottom w:w="28" w:type="dxa"/>
          <w:right w:w="28" w:type="dxa"/>
        </w:tblCellMar>
      </w:tblPr>
      <w:tblGrid>
        <w:gridCol w:w="7051"/>
        <w:gridCol w:w="931"/>
      </w:tblGrid>
      <w:tr>
        <w:trPr/>
        <w:tc>
          <w:tcPr>
            <w:tcW w:w="7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05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w:t>
            </w:r>
          </w:p>
        </w:tc>
        <w:tc>
          <w:tcPr>
            <w:tcW w:w="931"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Non-Executive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$7,500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$6,000</w:t>
            </w:r>
          </w:p>
        </w:tc>
      </w:tr>
      <w:tr>
        <w:trPr/>
        <w:tc>
          <w:tcPr>
            <w:tcW w:w="70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 (non-Chair):</w:t>
            </w:r>
          </w:p>
        </w:tc>
        <w:tc>
          <w:tcPr>
            <w:tcW w:w="93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40"/>
        <w:jc w:val="both"/>
        <w:rPr>
          <w:rFonts w:ascii="Times New Roman" w:hAnsi="Times New Roman"/>
          <w:color w:val="000000"/>
          <w:sz w:val="24"/>
        </w:rPr>
      </w:pPr>
      <w:r>
        <w:rPr>
          <w:rFonts w:ascii="Times New Roman" w:hAnsi="Times New Roman"/>
          <w:color w:val="000000"/>
          <w:sz w:val="24"/>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Equity Compensation</w:t>
      </w:r>
    </w:p>
    <w:tbl>
      <w:tblPr>
        <w:tblW w:w="10205" w:type="dxa"/>
        <w:jc w:val="left"/>
        <w:tblInd w:w="0" w:type="dxa"/>
        <w:tblLayout w:type="fixed"/>
        <w:tblCellMar>
          <w:top w:w="28" w:type="dxa"/>
          <w:left w:w="28" w:type="dxa"/>
          <w:bottom w:w="28" w:type="dxa"/>
          <w:right w:w="28" w:type="dxa"/>
        </w:tblCellMar>
      </w:tblPr>
      <w:tblGrid>
        <w:gridCol w:w="1267"/>
        <w:gridCol w:w="8938"/>
      </w:tblGrid>
      <w:tr>
        <w:trPr/>
        <w:tc>
          <w:tcPr>
            <w:tcW w:w="1267" w:type="dxa"/>
            <w:tcBorders/>
            <w:vAlign w:val="center"/>
          </w:tcPr>
          <w:p>
            <w:pPr>
              <w:pStyle w:val="TableContents"/>
              <w:bidi w:val="0"/>
              <w:spacing w:before="0" w:after="283"/>
              <w:jc w:val="left"/>
              <w:rPr>
                <w:sz w:val="4"/>
                <w:szCs w:val="4"/>
              </w:rPr>
            </w:pPr>
            <w:r>
              <w:rPr>
                <w:sz w:val="4"/>
                <w:szCs w:val="4"/>
              </w:rPr>
            </w:r>
          </w:p>
        </w:tc>
        <w:tc>
          <w:tcPr>
            <w:tcW w:w="8938" w:type="dxa"/>
            <w:tcBorders/>
            <w:vAlign w:val="center"/>
          </w:tcPr>
          <w:p>
            <w:pPr>
              <w:pStyle w:val="TableContents"/>
              <w:bidi w:val="0"/>
              <w:spacing w:before="0" w:after="283"/>
              <w:jc w:val="left"/>
              <w:rPr>
                <w:sz w:val="4"/>
                <w:szCs w:val="4"/>
              </w:rPr>
            </w:pPr>
            <w:r>
              <w:rPr>
                <w:sz w:val="4"/>
                <w:szCs w:val="4"/>
              </w:rPr>
            </w:r>
          </w:p>
        </w:tc>
      </w:tr>
      <w:tr>
        <w:trPr/>
        <w:tc>
          <w:tcPr>
            <w:tcW w:w="12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Initial Stock Option Grant:</w:t>
            </w:r>
          </w:p>
        </w:tc>
        <w:tc>
          <w:tcPr>
            <w:tcW w:w="893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Each Non-Employee Director who is initially elected or appointed to serve on the Board after the Effective Date shall be granted an Option under the Plan or any other applicable Company equity incentive plan then-maintained by the Company to purchase 4,800 shares of Common Stock (the “</w:t>
            </w:r>
            <w:r>
              <w:rPr>
                <w:rFonts w:ascii="Times New Roman" w:hAnsi="Times New Roman"/>
                <w:b/>
                <w:i/>
                <w:color w:val="000000"/>
                <w:sz w:val="24"/>
              </w:rPr>
              <w:t>Initial Option</w:t>
            </w:r>
            <w:r>
              <w:rPr>
                <w:rFonts w:ascii="Times New Roman" w:hAnsi="Times New Roman"/>
                <w:color w:val="000000"/>
                <w:sz w:val="24"/>
              </w:rPr>
              <w:t>”).</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The Initial Option will be automatically granted on the date on which such Non-Employee Director commences service on the Board, and will vest as to 1/36th of the shares subject thereto on each monthly anniversary of the applicable date of grant such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|US-DOCS\155132891.3||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sz w:val="4"/>
                <w:szCs w:val="4"/>
              </w:rPr>
            </w:pPr>
            <w:r>
              <w:rPr>
                <w:sz w:val="4"/>
                <w:szCs w:val="4"/>
              </w:rPr>
            </w:r>
          </w:p>
        </w:tc>
        <w:tc>
          <w:tcPr>
            <w:tcW w:w="9040" w:type="dxa"/>
            <w:tcBorders/>
            <w:vAlign w:val="center"/>
          </w:tcPr>
          <w:p>
            <w:pPr>
              <w:pStyle w:val="TableContents"/>
              <w:bidi w:val="0"/>
              <w:spacing w:before="0" w:after="283"/>
              <w:jc w:val="left"/>
              <w:rPr>
                <w:sz w:val="4"/>
                <w:szCs w:val="4"/>
              </w:rPr>
            </w:pPr>
            <w:r>
              <w:rPr>
                <w:sz w:val="4"/>
                <w:szCs w:val="4"/>
              </w:rPr>
            </w:r>
          </w:p>
        </w:tc>
      </w:tr>
      <w:tr>
        <w:trPr/>
        <w:tc>
          <w:tcPr>
            <w:tcW w:w="1165" w:type="dxa"/>
            <w:tcBorders/>
            <w:tcMar>
              <w:top w:w="0" w:type="dxa"/>
              <w:left w:w="0" w:type="dxa"/>
              <w:bottom w:w="0" w:type="dxa"/>
              <w:right w:w="0" w:type="dxa"/>
            </w:tcMar>
            <w:vAlign w:val="center"/>
          </w:tcPr>
          <w:p>
            <w:pPr>
              <w:pStyle w:val="TableContents"/>
              <w:bidi w:val="0"/>
              <w:spacing w:before="0" w:after="283"/>
              <w:jc w:val="left"/>
              <w:rPr/>
            </w:pPr>
            <w:r>
              <w:rPr/>
              <w:t> </w:t>
            </w:r>
          </w:p>
        </w:tc>
        <w:tc>
          <w:tcPr>
            <w:tcW w:w="904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that the shares subject to the Initial Option are fully vested on the third anniversary of the grant, in each case, subject to the Non-Employee Director continuing to provide services to the Company through the applicable vesting date.</w:t>
            </w:r>
          </w:p>
        </w:tc>
      </w:tr>
      <w:tr>
        <w:trPr/>
        <w:tc>
          <w:tcPr>
            <w:tcW w:w="11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Annual Stock Option Grant:</w:t>
            </w:r>
          </w:p>
        </w:tc>
        <w:tc>
          <w:tcPr>
            <w:tcW w:w="904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Each Non-Employee Director who (i) has been serving on the Board for at least four months as of each meeting of the Company’s stockholders (each, an “</w:t>
            </w:r>
            <w:r>
              <w:rPr>
                <w:rFonts w:ascii="Times New Roman" w:hAnsi="Times New Roman"/>
                <w:b/>
                <w:i/>
                <w:color w:val="000000"/>
                <w:sz w:val="24"/>
              </w:rPr>
              <w:t>Annual Meeting</w:t>
            </w:r>
            <w:r>
              <w:rPr>
                <w:rFonts w:ascii="Times New Roman" w:hAnsi="Times New Roman"/>
                <w:color w:val="000000"/>
                <w:sz w:val="24"/>
              </w:rPr>
              <w:t>”) and (ii) will continue to serve as a Non-Employee Director immediately following such meeting, shall be granted an Option under the Plan or any other applicable Company equity incentive plan then-maintained by the Company to purchase 2,400 shares of Common Stock (the “</w:t>
            </w:r>
            <w:r>
              <w:rPr>
                <w:rFonts w:ascii="Times New Roman" w:hAnsi="Times New Roman"/>
                <w:b/>
                <w:i/>
                <w:color w:val="000000"/>
                <w:sz w:val="24"/>
              </w:rPr>
              <w:t>Annual Option</w:t>
            </w:r>
            <w:r>
              <w:rPr>
                <w:rFonts w:ascii="Times New Roman" w:hAnsi="Times New Roman"/>
                <w:color w:val="000000"/>
                <w:sz w:val="24"/>
              </w:rPr>
              <w: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to provide services to the Company through such vesting date.</w:t>
            </w:r>
          </w:p>
        </w:tc>
      </w:tr>
    </w:tbl>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per share exercise price of each Option granted to a Non-Employee Director shall equal the Fair Market Value of a share of Common Stock on the date the Option is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each Option granted to a Non-Employee Director shall be ten years from the date the Option is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determined by the Board, no portion of an Initial Option or Annual Option which is unvested or unexercisable at the time of a Non-Employee Director’s termination of service on the Board shall become vested and exercisable thereafter.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6"/>
        </w:rPr>
      </w:pPr>
      <w:r>
        <w:rPr>
          <w:rFonts w:ascii="Times New Roman" w:hAnsi="Times New Roman"/>
          <w:color w:val="000000"/>
          <w:sz w:val="16"/>
        </w:rPr>
        <w:t>|US-DOCS\155132891.3||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Reimbursements</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Miscellaneous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(including Section 5.5 of the Plan limiting the sum of the grant date fair value of all equity-based Awards and the maximum amount that may become payable pursuant to all cash-based Awards that may be granted to a Service Provider (as defined in the Plan) as compensation for services as a Non-Employee Director during any calendar year to $1,500,000). The grant of any Option under this Program shall be made solely by and subject to the terms set forth in a written agreement in a form to be approved by the Board and duly executed by an executive officer of the Company.</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6"/>
        </w:rPr>
      </w:pPr>
      <w:r>
        <w:rPr>
          <w:rFonts w:ascii="Times New Roman" w:hAnsi="Times New Roman"/>
          <w:color w:val="000000"/>
          <w:sz w:val="16"/>
        </w:rPr>
        <w:t>|US-DOCS\155132891.3||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31" w:name="algs-ex10_1a.htm"/>
      <w:bookmarkStart w:id="32" w:name="ksalgsex10_1a"/>
      <w:bookmarkEnd w:id="31"/>
      <w:bookmarkEnd w:id="32"/>
      <w:r>
        <w:rPr>
          <w:rFonts w:ascii="Times New Roman" w:hAnsi="Times New Roman"/>
          <w:color w:val="000000"/>
          <w:sz w:val="22"/>
        </w:rPr>
        <w:t>Exhibit 10.1(a)</w:t>
      </w:r>
      <w:r>
        <w:br w:type="page"/>
      </w:r>
    </w:p>
    <w:p>
      <w:pPr>
        <w:pStyle w:val="TextBody"/>
        <w:bidi w:val="0"/>
        <w:jc w:val="center"/>
        <w:rPr>
          <w:rFonts w:ascii="Times New Roman" w:hAnsi="Times New Roman"/>
          <w:sz w:val="20"/>
        </w:rPr>
      </w:pPr>
      <w:r>
        <w:rPr>
          <w:rFonts w:ascii="Times New Roman" w:hAnsi="Times New Roman"/>
          <w:b/>
          <w:caps/>
          <w:color w:val="000000"/>
          <w:sz w:val="22"/>
        </w:rPr>
        <w:t>Aligos Therapeutics, Inc.</w:t>
      </w:r>
      <w:r>
        <w:rPr>
          <w:rFonts w:ascii="Times New Roman" w:hAnsi="Times New Roman"/>
          <w:color w:val="000000"/>
          <w:sz w:val="22"/>
        </w:rPr>
        <w:br/>
      </w:r>
      <w:r>
        <w:rPr>
          <w:rFonts w:ascii="Times New Roman" w:hAnsi="Times New Roman"/>
          <w:b/>
          <w:color w:val="000000"/>
          <w:sz w:val="22"/>
        </w:rPr>
        <w:t>2024 EMPLOYMENT INDUCEMENT AWARD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Purpose </w:t>
      </w:r>
    </w:p>
    <w:p>
      <w:pPr>
        <w:pStyle w:val="TextBody"/>
        <w:bidi w:val="0"/>
        <w:spacing w:before="0" w:after="240"/>
        <w:jc w:val="both"/>
        <w:rPr>
          <w:rFonts w:ascii="Times New Roman" w:hAnsi="Times New Roman"/>
          <w:sz w:val="20"/>
        </w:rPr>
      </w:pPr>
      <w:r>
        <w:rPr>
          <w:rFonts w:ascii="Times New Roman" w:hAnsi="Times New Roman"/>
          <w:color w:val="000000"/>
          <w:sz w:val="22"/>
        </w:rPr>
        <w:t>The Plan’s purpose is to enhance the Company’s ability to attract, retain and motivate employees who are expected to make important contributions to the Company by providing these individuals with equity ownership opportunities.</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240"/>
        <w:jc w:val="center"/>
        <w:rPr/>
      </w:pPr>
      <w:r>
        <w:rPr>
          <w:rFonts w:ascii="Times New Roman" w:hAnsi="Times New Roman"/>
          <w:b/>
          <w:caps/>
          <w:color w:val="000000"/>
          <w:sz w:val="22"/>
        </w:rPr>
        <w:br/>
        <w:t>Definitions</w:t>
      </w:r>
      <w:r>
        <w:rPr>
          <w:caps/>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the Plan, the following words and phrases have the meanings specified below, unless the context clearly indicates otherwise: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spacing w:before="0" w:after="240"/>
        <w:jc w:val="both"/>
        <w:rPr/>
      </w:pPr>
      <w:r>
        <w:rPr>
          <w:color w:val="000000"/>
        </w:rPr>
        <w:t>“</w:t>
      </w:r>
      <w:r>
        <w:rPr>
          <w:rFonts w:ascii="Times New Roman" w:hAnsi="Times New Roman"/>
          <w:b/>
          <w:i/>
          <w:color w:val="000000"/>
          <w:sz w:val="22"/>
        </w:rPr>
        <w:t>Administrator</w:t>
      </w:r>
      <w:r>
        <w:rPr>
          <w:color w:val="000000"/>
        </w:rPr>
        <w:t xml:space="preserve">” </w:t>
      </w:r>
      <w:r>
        <w:rPr>
          <w:rFonts w:ascii="Times New Roman" w:hAnsi="Times New Roman"/>
          <w:color w:val="000000"/>
          <w:sz w:val="22"/>
        </w:rPr>
        <w:t>means the Board or the Committee to the extent that the Board’s powers or authority under the Plan have been delegated to the Committee. Any action taken by the Board as the Administrator in connection with the administration of the Plan shall not be deemed approved by the Board unless such actions are approved by a majority of the Non-Employee Directors.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0" w:after="240"/>
        <w:jc w:val="both"/>
        <w:rPr/>
      </w:pPr>
      <w:r>
        <w:rPr>
          <w:color w:val="000000"/>
        </w:rPr>
        <w:t>“</w:t>
      </w:r>
      <w:r>
        <w:rPr>
          <w:rFonts w:ascii="Times New Roman" w:hAnsi="Times New Roman"/>
          <w:b/>
          <w:i/>
          <w:color w:val="000000"/>
          <w:sz w:val="22"/>
        </w:rPr>
        <w:t>Applicable Law</w:t>
      </w:r>
      <w:r>
        <w:rPr>
          <w:color w:val="000000"/>
        </w:rPr>
        <w:t xml:space="preserve">” </w:t>
      </w:r>
      <w:r>
        <w:rPr>
          <w:rFonts w:ascii="Times New Roman" w:hAnsi="Times New Roman"/>
          <w:color w:val="000000"/>
          <w:sz w:val="22"/>
        </w:rPr>
        <w:t>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w:t>
      </w:r>
    </w:p>
    <w:p>
      <w:pPr>
        <w:pStyle w:val="TextBody"/>
        <w:bidi w:val="0"/>
        <w:spacing w:before="0" w:after="24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an Option, Stock Appreciation Right, Restricted Stock Award, Restricted Stock Unit Award, Performance Bonus Award, Performance Stock Unit Award, Dividend Equivalents award or Other Stock or Cash Based Award granted to a Participant under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w:t>
      </w:r>
    </w:p>
    <w:p>
      <w:pPr>
        <w:pStyle w:val="TextBody"/>
        <w:bidi w:val="0"/>
        <w:spacing w:before="0" w:after="24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an agreement evidencing an Award, which may be written or electronic, that contains such terms and conditions as the Administrator determines, consistent with and subject to the terms and conditions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2.5</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2.6</w:t>
      </w:r>
    </w:p>
    <w:p>
      <w:pPr>
        <w:pStyle w:val="TextBody"/>
        <w:bidi w:val="0"/>
        <w:spacing w:before="0" w:after="24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2.6(c)(i), 2.6(c)(ii) and 2.6(c)(iii); or (iv)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Incumbent Directors cease for any reason to constitute a majority of the Board;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color w:val="000000"/>
        </w:rPr>
        <w:t>”</w:t>
      </w:r>
      <w:r>
        <w:rPr>
          <w:rFonts w:ascii="Times New Roman" w:hAnsi="Times New Roman"/>
          <w:color w:val="000000"/>
          <w:sz w:val="22"/>
        </w:rPr>
        <w:t>)) directly or indirectly, at least a majority of the combined voting power of the Successor Entity’s outstanding voting securities immediately after the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after which no person or group beneficially owns voting securities representing 50% or more of the combined voting power of the Successor Entity; provided</w:t>
      </w:r>
      <w:r>
        <w:rPr>
          <w:rFonts w:ascii="Times New Roman" w:hAnsi="Times New Roman"/>
          <w:i/>
          <w:color w:val="000000"/>
          <w:sz w:val="22"/>
        </w:rPr>
        <w:t xml:space="preserve">, </w:t>
      </w:r>
      <w:r>
        <w:rPr>
          <w:rFonts w:ascii="Times New Roman" w:hAnsi="Times New Roman"/>
          <w:color w:val="000000"/>
          <w:sz w:val="22"/>
        </w:rPr>
        <w:t xml:space="preserve">however, that no person or group shall be treated for purposes of this Section 2.6(c)(ii) as beneficially owning 50% or more of the combined voting power of the Successor Entity solely as a result of the voting power held in the Company prior to the consummation of the transaction;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completion of a liquidation or dissolution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2.6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2.7</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U.S. Internal Revenue Code of 1986, as amended, and all regulations, guidance, compliance programs and other interpretative authority issued thereunder.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2.8</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 xml:space="preserve">means the Compensation Committee of the Board.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2.9</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 xml:space="preserve">means the common stock of the Company.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2.10</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Aligos Therapeutics, Inc., a Delaware corporation, or any successor.</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2.11</w:t>
      </w:r>
    </w:p>
    <w:p>
      <w:pPr>
        <w:pStyle w:val="TextBody"/>
        <w:bidi w:val="0"/>
        <w:spacing w:before="0" w:after="240"/>
        <w:jc w:val="both"/>
        <w:rPr/>
      </w:pPr>
      <w:r>
        <w:rPr>
          <w:color w:val="000000"/>
        </w:rPr>
        <w:t>“</w:t>
      </w:r>
      <w:r>
        <w:rPr>
          <w:rFonts w:ascii="Times New Roman" w:hAnsi="Times New Roman"/>
          <w:b/>
          <w:i/>
          <w:color w:val="000000"/>
          <w:sz w:val="22"/>
        </w:rPr>
        <w:t>Consultant</w:t>
      </w:r>
      <w:r>
        <w:rPr>
          <w:color w:val="000000"/>
        </w:rPr>
        <w:t xml:space="preserve">” </w:t>
      </w:r>
      <w:r>
        <w:rPr>
          <w:rFonts w:ascii="Times New Roman" w:hAnsi="Times New Roman"/>
          <w:color w:val="000000"/>
          <w:sz w:val="22"/>
        </w:rPr>
        <w:t>means any person, including any adviser, engaged by the Company or its parent or Subsidiary to render services to such entity.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2.12</w:t>
      </w:r>
    </w:p>
    <w:p>
      <w:pPr>
        <w:pStyle w:val="TextBody"/>
        <w:bidi w:val="0"/>
        <w:spacing w:before="0" w:after="240"/>
        <w:jc w:val="both"/>
        <w:rPr/>
      </w:pPr>
      <w:r>
        <w:rPr>
          <w:color w:val="000000"/>
        </w:rPr>
        <w:t>“</w:t>
      </w:r>
      <w:r>
        <w:rPr>
          <w:rFonts w:ascii="Times New Roman" w:hAnsi="Times New Roman"/>
          <w:b/>
          <w:i/>
          <w:color w:val="000000"/>
          <w:sz w:val="22"/>
        </w:rPr>
        <w:t>Designated Beneficiary</w:t>
      </w:r>
      <w:r>
        <w:rPr>
          <w:color w:val="000000"/>
        </w:rPr>
        <w:t xml:space="preserve">” </w:t>
      </w:r>
      <w:r>
        <w:rPr>
          <w:rFonts w:ascii="Times New Roman" w:hAnsi="Times New Roman"/>
          <w:color w:val="000000"/>
          <w:sz w:val="22"/>
        </w:rPr>
        <w:t>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2.13</w:t>
      </w:r>
    </w:p>
    <w:p>
      <w:pPr>
        <w:pStyle w:val="TextBody"/>
        <w:bidi w:val="0"/>
        <w:spacing w:before="0" w:after="240"/>
        <w:jc w:val="both"/>
        <w:rPr/>
      </w:pPr>
      <w:r>
        <w:rPr>
          <w:color w:val="000000"/>
        </w:rPr>
        <w:t>“</w:t>
      </w:r>
      <w:r>
        <w:rPr>
          <w:rFonts w:ascii="Times New Roman" w:hAnsi="Times New Roman"/>
          <w:b/>
          <w:i/>
          <w:color w:val="000000"/>
          <w:sz w:val="22"/>
        </w:rPr>
        <w:t>Director</w:t>
      </w:r>
      <w:r>
        <w:rPr>
          <w:color w:val="000000"/>
        </w:rPr>
        <w:t xml:space="preserve">” </w:t>
      </w:r>
      <w:r>
        <w:rPr>
          <w:rFonts w:ascii="Times New Roman" w:hAnsi="Times New Roman"/>
          <w:color w:val="000000"/>
          <w:sz w:val="22"/>
        </w:rPr>
        <w:t>means a Board member.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2.14</w:t>
      </w:r>
    </w:p>
    <w:p>
      <w:pPr>
        <w:pStyle w:val="TextBody"/>
        <w:bidi w:val="0"/>
        <w:spacing w:before="0" w:after="240"/>
        <w:jc w:val="both"/>
        <w:rPr/>
      </w:pPr>
      <w:r>
        <w:rPr>
          <w:color w:val="000000"/>
        </w:rPr>
        <w:t>“</w:t>
      </w:r>
      <w:r>
        <w:rPr>
          <w:rFonts w:ascii="Times New Roman" w:hAnsi="Times New Roman"/>
          <w:b/>
          <w:i/>
          <w:color w:val="000000"/>
          <w:sz w:val="22"/>
        </w:rPr>
        <w:t>Disability</w:t>
      </w:r>
      <w:r>
        <w:rPr>
          <w:color w:val="000000"/>
        </w:rPr>
        <w:t xml:space="preserve">” </w:t>
      </w:r>
      <w:r>
        <w:rPr>
          <w:rFonts w:ascii="Times New Roman" w:hAnsi="Times New Roman"/>
          <w:color w:val="000000"/>
          <w:sz w:val="22"/>
        </w:rPr>
        <w:t>means a permanent and total disability under Section 22(e)(3) of the Code.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2.15</w:t>
      </w:r>
    </w:p>
    <w:p>
      <w:pPr>
        <w:pStyle w:val="TextBody"/>
        <w:bidi w:val="0"/>
        <w:spacing w:before="0" w:after="240"/>
        <w:jc w:val="both"/>
        <w:rPr/>
      </w:pPr>
      <w:r>
        <w:rPr>
          <w:color w:val="000000"/>
        </w:rPr>
        <w:t>“</w:t>
      </w:r>
      <w:r>
        <w:rPr>
          <w:rFonts w:ascii="Times New Roman" w:hAnsi="Times New Roman"/>
          <w:b/>
          <w:i/>
          <w:color w:val="000000"/>
          <w:sz w:val="22"/>
        </w:rPr>
        <w:t>Dividend Equivalents</w:t>
      </w:r>
      <w:r>
        <w:rPr>
          <w:color w:val="000000"/>
        </w:rPr>
        <w:t xml:space="preserve">” </w:t>
      </w:r>
      <w:r>
        <w:rPr>
          <w:rFonts w:ascii="Times New Roman" w:hAnsi="Times New Roman"/>
          <w:color w:val="000000"/>
          <w:sz w:val="22"/>
        </w:rPr>
        <w:t>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2.16</w:t>
      </w:r>
    </w:p>
    <w:p>
      <w:pPr>
        <w:pStyle w:val="TextBody"/>
        <w:bidi w:val="0"/>
        <w:spacing w:before="0" w:after="240"/>
        <w:jc w:val="both"/>
        <w:rPr/>
      </w:pPr>
      <w:r>
        <w:rPr>
          <w:color w:val="000000"/>
        </w:rPr>
        <w:t>“</w:t>
      </w:r>
      <w:r>
        <w:rPr>
          <w:rFonts w:ascii="Times New Roman" w:hAnsi="Times New Roman"/>
          <w:b/>
          <w:i/>
          <w:color w:val="000000"/>
          <w:sz w:val="22"/>
        </w:rPr>
        <w:t>DRO</w:t>
      </w:r>
      <w:r>
        <w:rPr>
          <w:color w:val="000000"/>
        </w:rPr>
        <w:t xml:space="preserve">” </w:t>
      </w:r>
      <w:r>
        <w:rPr>
          <w:rFonts w:ascii="Times New Roman" w:hAnsi="Times New Roman"/>
          <w:color w:val="000000"/>
          <w:sz w:val="22"/>
        </w:rPr>
        <w:t>means a “domestic relations order” as defined by the Code or Title I of the Employee Retirement Income Security Act of 1974, as amended, or the rules thereunder.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2.17</w:t>
      </w:r>
    </w:p>
    <w:p>
      <w:pPr>
        <w:pStyle w:val="TextBody"/>
        <w:bidi w:val="0"/>
        <w:spacing w:before="0" w:after="240"/>
        <w:jc w:val="both"/>
        <w:rPr/>
      </w:pPr>
      <w:r>
        <w:rPr>
          <w:color w:val="000000"/>
        </w:rPr>
        <w:t>“</w:t>
      </w:r>
      <w:r>
        <w:rPr>
          <w:rFonts w:ascii="Times New Roman" w:hAnsi="Times New Roman"/>
          <w:b/>
          <w:i/>
          <w:color w:val="000000"/>
          <w:sz w:val="22"/>
        </w:rPr>
        <w:t>Effective Date</w:t>
      </w:r>
      <w:r>
        <w:rPr>
          <w:color w:val="000000"/>
        </w:rPr>
        <w:t xml:space="preserve">” </w:t>
      </w:r>
      <w:r>
        <w:rPr>
          <w:rFonts w:ascii="Times New Roman" w:hAnsi="Times New Roman"/>
          <w:color w:val="000000"/>
          <w:sz w:val="22"/>
        </w:rPr>
        <w:t>has the meaning set forth in Section 11.3.</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2.18</w:t>
      </w:r>
    </w:p>
    <w:p>
      <w:pPr>
        <w:pStyle w:val="TextBody"/>
        <w:bidi w:val="0"/>
        <w:spacing w:before="0" w:after="240"/>
        <w:jc w:val="both"/>
        <w:rPr/>
      </w:pPr>
      <w:r>
        <w:rPr>
          <w:color w:val="000000"/>
        </w:rPr>
        <w:t>“</w:t>
      </w:r>
      <w:r>
        <w:rPr>
          <w:rFonts w:ascii="Times New Roman" w:hAnsi="Times New Roman"/>
          <w:b/>
          <w:i/>
          <w:color w:val="000000"/>
          <w:sz w:val="22"/>
        </w:rPr>
        <w:t>Eligible Employee</w:t>
      </w:r>
      <w:r>
        <w:rPr>
          <w:color w:val="000000"/>
        </w:rPr>
        <w:t xml:space="preserve">” </w:t>
      </w:r>
      <w:r>
        <w:rPr>
          <w:rFonts w:ascii="Times New Roman" w:hAnsi="Times New Roman"/>
          <w:color w:val="000000"/>
          <w:sz w:val="22"/>
        </w:rPr>
        <w:t>means any Employee who has not previously been an employee or director of the Company or a Subsidiary, or is commencing employment with the Company or a Subsidiary following a bona fide period of non-employment by the Company or a Subsidiary, if such Employee is granted an Award in connection with such Employee’s commencement of employment with the Company or a Subsidiary and such grant is an inducement material to such Employee entering into employment with the Company or a Subsidiary. The Administrator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such Employee has not been previously employed by the Company or a Subsidiary, or if previously employed, has had a bona fide period of non-employment, and that the grant of an Award under the Plan is an inducement material to such Employee’s agreement to enter into employment with the Company or a Subsidiary).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2.19</w:t>
      </w:r>
    </w:p>
    <w:p>
      <w:pPr>
        <w:pStyle w:val="TextBody"/>
        <w:bidi w:val="0"/>
        <w:spacing w:before="0" w:after="24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any employee of the Company or any of its Subsidiaries.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2.20</w:t>
      </w:r>
    </w:p>
    <w:p>
      <w:pPr>
        <w:pStyle w:val="TextBody"/>
        <w:bidi w:val="0"/>
        <w:spacing w:before="0" w:after="240"/>
        <w:jc w:val="both"/>
        <w:rPr/>
      </w:pPr>
      <w:r>
        <w:rPr>
          <w:color w:val="000000"/>
        </w:rPr>
        <w:t>“</w:t>
      </w:r>
      <w:r>
        <w:rPr>
          <w:rFonts w:ascii="Times New Roman" w:hAnsi="Times New Roman"/>
          <w:b/>
          <w:i/>
          <w:color w:val="000000"/>
          <w:sz w:val="22"/>
        </w:rPr>
        <w:t>Equity Restructuring</w:t>
      </w:r>
      <w:r>
        <w:rPr>
          <w:color w:val="000000"/>
        </w:rPr>
        <w:t xml:space="preserve">” </w:t>
      </w:r>
      <w:r>
        <w:rPr>
          <w:rFonts w:ascii="Times New Roman" w:hAnsi="Times New Roman"/>
          <w:color w:val="000000"/>
          <w:sz w:val="22"/>
        </w:rPr>
        <w:t>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2.21</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U.S. Securities Exchange Act of 1934, as amended, and all regulations, guidance and other interpretative authority issued thereunder.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2.22</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 xml:space="preserve">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 xml:space="preserve">or another source the Administrator deems reliable; (ii) if the Common Stock is not listed on an established stock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exchange but is quoted on a national market or other quotation system, the value of a Share will be the closing sales price for a Share on such date, or if no sales occurred on such date, then on the last date preceding such date during which a sale occurred, as reported in The Wall Street Journal or another source the Administrator deems reliable; or (iii) if the Common Stock is not listed on any established stock exchange or quoted on a national market or other quotation system, the value established by the Administrator in its sole discretion.</w:t>
      </w:r>
      <w:r>
        <w:rPr>
          <w:color w:val="000000"/>
        </w:rPr>
        <w:t xml:space="preserv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2.23</w:t>
      </w:r>
    </w:p>
    <w:p>
      <w:pPr>
        <w:pStyle w:val="TextBody"/>
        <w:bidi w:val="0"/>
        <w:spacing w:before="0" w:after="240"/>
        <w:jc w:val="both"/>
        <w:rPr/>
      </w:pPr>
      <w:r>
        <w:rPr>
          <w:color w:val="000000"/>
        </w:rPr>
        <w:t>“</w:t>
      </w:r>
      <w:r>
        <w:rPr>
          <w:rFonts w:ascii="Times New Roman" w:hAnsi="Times New Roman"/>
          <w:b/>
          <w:i/>
          <w:color w:val="000000"/>
          <w:sz w:val="22"/>
        </w:rPr>
        <w:t>Incentive Stock Option</w:t>
      </w:r>
      <w:r>
        <w:rPr>
          <w:color w:val="000000"/>
        </w:rPr>
        <w:t xml:space="preserve">” </w:t>
      </w:r>
      <w:r>
        <w:rPr>
          <w:rFonts w:ascii="Times New Roman" w:hAnsi="Times New Roman"/>
          <w:color w:val="000000"/>
          <w:sz w:val="22"/>
        </w:rPr>
        <w:t>means an Option that meets the requirements to qualify as an “incentive stock option” as defined in Section 422 of the Code. Incentive Stock Options may not be granted under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2.24</w:t>
      </w:r>
    </w:p>
    <w:p>
      <w:pPr>
        <w:pStyle w:val="TextBody"/>
        <w:bidi w:val="0"/>
        <w:spacing w:before="0" w:after="240"/>
        <w:jc w:val="both"/>
        <w:rPr/>
      </w:pPr>
      <w:r>
        <w:rPr>
          <w:color w:val="000000"/>
        </w:rPr>
        <w:t>“</w:t>
      </w:r>
      <w:r>
        <w:rPr>
          <w:rFonts w:ascii="Times New Roman" w:hAnsi="Times New Roman"/>
          <w:b/>
          <w:i/>
          <w:color w:val="000000"/>
          <w:sz w:val="22"/>
        </w:rPr>
        <w:t>Incumbent Directors”</w:t>
      </w:r>
      <w:r>
        <w:rPr>
          <w:color w:val="000000"/>
        </w:rPr>
        <w:t xml:space="preserve"> </w:t>
      </w:r>
      <w:r>
        <w:rPr>
          <w:rFonts w:ascii="Times New Roman" w:hAnsi="Times New Roman"/>
          <w:color w:val="000000"/>
          <w:sz w:val="22"/>
        </w:rPr>
        <w:t>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2.6(a) or 2.6(c))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2.25</w:t>
      </w:r>
    </w:p>
    <w:p>
      <w:pPr>
        <w:pStyle w:val="TextBody"/>
        <w:bidi w:val="0"/>
        <w:spacing w:before="0" w:after="240"/>
        <w:jc w:val="both"/>
        <w:rPr/>
      </w:pPr>
      <w:r>
        <w:rPr>
          <w:color w:val="000000"/>
        </w:rPr>
        <w:t>“</w:t>
      </w:r>
      <w:r>
        <w:rPr>
          <w:rFonts w:ascii="Times New Roman" w:hAnsi="Times New Roman"/>
          <w:b/>
          <w:i/>
          <w:color w:val="000000"/>
          <w:sz w:val="22"/>
        </w:rPr>
        <w:t>Non-Employee Director</w:t>
      </w:r>
      <w:r>
        <w:rPr>
          <w:color w:val="000000"/>
        </w:rPr>
        <w:t xml:space="preserve">” </w:t>
      </w:r>
      <w:r>
        <w:rPr>
          <w:rFonts w:ascii="Times New Roman" w:hAnsi="Times New Roman"/>
          <w:color w:val="000000"/>
          <w:sz w:val="22"/>
        </w:rPr>
        <w:t>means a Director who is not an Employee.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2.26</w:t>
      </w:r>
    </w:p>
    <w:p>
      <w:pPr>
        <w:pStyle w:val="TextBody"/>
        <w:bidi w:val="0"/>
        <w:spacing w:before="0" w:after="240"/>
        <w:jc w:val="both"/>
        <w:rPr/>
      </w:pPr>
      <w:r>
        <w:rPr>
          <w:color w:val="000000"/>
        </w:rPr>
        <w:t>“</w:t>
      </w:r>
      <w:r>
        <w:rPr>
          <w:rFonts w:ascii="Times New Roman" w:hAnsi="Times New Roman"/>
          <w:b/>
          <w:i/>
          <w:color w:val="000000"/>
          <w:sz w:val="22"/>
        </w:rPr>
        <w:t>Nonqualified Stock Option</w:t>
      </w:r>
      <w:r>
        <w:rPr>
          <w:color w:val="000000"/>
        </w:rPr>
        <w:t xml:space="preserve">” </w:t>
      </w:r>
      <w:r>
        <w:rPr>
          <w:rFonts w:ascii="Times New Roman" w:hAnsi="Times New Roman"/>
          <w:color w:val="000000"/>
          <w:sz w:val="22"/>
        </w:rPr>
        <w:t xml:space="preserve">means an Option that is not an Incentive Stock Option.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2.27</w:t>
      </w:r>
    </w:p>
    <w:p>
      <w:pPr>
        <w:pStyle w:val="TextBody"/>
        <w:bidi w:val="0"/>
        <w:spacing w:before="0" w:after="240"/>
        <w:jc w:val="both"/>
        <w:rPr/>
      </w:pPr>
      <w:r>
        <w:rPr>
          <w:color w:val="000000"/>
        </w:rPr>
        <w:t>“</w:t>
      </w:r>
      <w:r>
        <w:rPr>
          <w:rFonts w:ascii="Times New Roman" w:hAnsi="Times New Roman"/>
          <w:b/>
          <w:i/>
          <w:color w:val="000000"/>
          <w:sz w:val="22"/>
        </w:rPr>
        <w:t>Option</w:t>
      </w:r>
      <w:r>
        <w:rPr>
          <w:color w:val="000000"/>
        </w:rPr>
        <w:t xml:space="preserve">” </w:t>
      </w:r>
      <w:r>
        <w:rPr>
          <w:rFonts w:ascii="Times New Roman" w:hAnsi="Times New Roman"/>
          <w:color w:val="000000"/>
          <w:sz w:val="22"/>
        </w:rPr>
        <w:t>means a right granted under Article VI to purchase a specified number of Shares at a specified price per Share during a specified time period. Each Option shall constitute a Nonqualified Stock Option.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2.28</w:t>
      </w:r>
    </w:p>
    <w:p>
      <w:pPr>
        <w:pStyle w:val="TextBody"/>
        <w:bidi w:val="0"/>
        <w:spacing w:before="0" w:after="240"/>
        <w:jc w:val="both"/>
        <w:rPr/>
      </w:pPr>
      <w:r>
        <w:rPr>
          <w:color w:val="000000"/>
        </w:rPr>
        <w:t>“</w:t>
      </w:r>
      <w:r>
        <w:rPr>
          <w:rFonts w:ascii="Times New Roman" w:hAnsi="Times New Roman"/>
          <w:b/>
          <w:i/>
          <w:color w:val="000000"/>
          <w:sz w:val="22"/>
        </w:rPr>
        <w:t>Other Stock or Cash Based Awards</w:t>
      </w:r>
      <w:r>
        <w:rPr>
          <w:color w:val="000000"/>
        </w:rPr>
        <w:t xml:space="preserve">” </w:t>
      </w:r>
      <w:r>
        <w:rPr>
          <w:rFonts w:ascii="Times New Roman" w:hAnsi="Times New Roman"/>
          <w:color w:val="000000"/>
          <w:sz w:val="22"/>
        </w:rPr>
        <w:t>means cash awards, awards of Shares, and other awards valued wholly or partially by referring to, or are otherwise based on, Shares or other property.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2.29</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 Service Provider who has been granted an Award at a time when such Service Provider was an Eligible Employee.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2.30</w:t>
      </w:r>
    </w:p>
    <w:p>
      <w:pPr>
        <w:pStyle w:val="TextBody"/>
        <w:bidi w:val="0"/>
        <w:spacing w:before="0" w:after="240"/>
        <w:jc w:val="both"/>
        <w:rPr/>
      </w:pPr>
      <w:r>
        <w:rPr>
          <w:color w:val="000000"/>
        </w:rPr>
        <w:t>“</w:t>
      </w:r>
      <w:r>
        <w:rPr>
          <w:rFonts w:ascii="Times New Roman" w:hAnsi="Times New Roman"/>
          <w:b/>
          <w:i/>
          <w:color w:val="000000"/>
          <w:sz w:val="22"/>
        </w:rPr>
        <w:t>Performance Bonus Award</w:t>
      </w:r>
      <w:r>
        <w:rPr>
          <w:color w:val="000000"/>
        </w:rPr>
        <w:t xml:space="preserve">” </w:t>
      </w:r>
      <w:r>
        <w:rPr>
          <w:rFonts w:ascii="Times New Roman" w:hAnsi="Times New Roman"/>
          <w:color w:val="000000"/>
          <w:sz w:val="22"/>
        </w:rPr>
        <w:t>has the meaning set forth in Section 8.3.</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2.31</w:t>
      </w:r>
    </w:p>
    <w:p>
      <w:pPr>
        <w:pStyle w:val="TextBody"/>
        <w:bidi w:val="0"/>
        <w:spacing w:before="0" w:after="240"/>
        <w:jc w:val="both"/>
        <w:rPr/>
      </w:pPr>
      <w:r>
        <w:rPr>
          <w:color w:val="000000"/>
        </w:rPr>
        <w:t>“</w:t>
      </w:r>
      <w:r>
        <w:rPr>
          <w:rFonts w:ascii="Times New Roman" w:hAnsi="Times New Roman"/>
          <w:b/>
          <w:i/>
          <w:color w:val="000000"/>
          <w:sz w:val="22"/>
        </w:rPr>
        <w:t>Performance Stock Unit</w:t>
      </w:r>
      <w:r>
        <w:rPr>
          <w:color w:val="000000"/>
        </w:rPr>
        <w:t xml:space="preserve">” </w:t>
      </w:r>
      <w:r>
        <w:rPr>
          <w:rFonts w:ascii="Times New Roman" w:hAnsi="Times New Roman"/>
          <w:color w:val="000000"/>
          <w:sz w:val="22"/>
        </w:rPr>
        <w:t>means a right granted to a Participant pursuant to Section 8.1 and subject to Section 8.2, to receive Shares, the payment of which is contingent upon achieving certain performance goals or other performance-based targets established by the Administrator.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2.32</w:t>
      </w:r>
    </w:p>
    <w:p>
      <w:pPr>
        <w:pStyle w:val="TextBody"/>
        <w:bidi w:val="0"/>
        <w:spacing w:before="0" w:after="240"/>
        <w:jc w:val="both"/>
        <w:rPr/>
      </w:pPr>
      <w:r>
        <w:rPr>
          <w:color w:val="000000"/>
        </w:rPr>
        <w:t>“</w:t>
      </w:r>
      <w:r>
        <w:rPr>
          <w:rFonts w:ascii="Times New Roman" w:hAnsi="Times New Roman"/>
          <w:b/>
          <w:i/>
          <w:color w:val="000000"/>
          <w:sz w:val="22"/>
        </w:rPr>
        <w:t>Permitted Transferee</w:t>
      </w:r>
      <w:r>
        <w:rPr>
          <w:color w:val="000000"/>
        </w:rPr>
        <w:t xml:space="preserve">” </w:t>
      </w:r>
      <w:r>
        <w:rPr>
          <w:rFonts w:ascii="Times New Roman" w:hAnsi="Times New Roman"/>
          <w:color w:val="000000"/>
          <w:sz w:val="22"/>
        </w:rPr>
        <w:t>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2.33</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2024 Employment Inducement Award Plan.</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2.34</w:t>
      </w:r>
    </w:p>
    <w:p>
      <w:pPr>
        <w:pStyle w:val="TextBody"/>
        <w:bidi w:val="0"/>
        <w:spacing w:before="0" w:after="240"/>
        <w:jc w:val="both"/>
        <w:rPr/>
      </w:pPr>
      <w:r>
        <w:rPr>
          <w:color w:val="000000"/>
        </w:rPr>
        <w:t>“</w:t>
      </w:r>
      <w:r>
        <w:rPr>
          <w:rFonts w:ascii="Times New Roman" w:hAnsi="Times New Roman"/>
          <w:b/>
          <w:i/>
          <w:color w:val="000000"/>
          <w:sz w:val="22"/>
        </w:rPr>
        <w:t>Restricted Stock</w:t>
      </w:r>
      <w:r>
        <w:rPr>
          <w:color w:val="000000"/>
        </w:rPr>
        <w:t xml:space="preserve">” </w:t>
      </w:r>
      <w:r>
        <w:rPr>
          <w:rFonts w:ascii="Times New Roman" w:hAnsi="Times New Roman"/>
          <w:color w:val="000000"/>
          <w:sz w:val="22"/>
        </w:rPr>
        <w:t>means Shares awarded to a Participant under Article VII, subject to certain vesting conditions and other restrictions.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2.35</w:t>
      </w:r>
    </w:p>
    <w:p>
      <w:pPr>
        <w:pStyle w:val="TextBody"/>
        <w:bidi w:val="0"/>
        <w:spacing w:before="0" w:after="240"/>
        <w:jc w:val="both"/>
        <w:rPr/>
      </w:pPr>
      <w:r>
        <w:rPr>
          <w:color w:val="000000"/>
        </w:rPr>
        <w:t>“</w:t>
      </w:r>
      <w:r>
        <w:rPr>
          <w:rFonts w:ascii="Times New Roman" w:hAnsi="Times New Roman"/>
          <w:b/>
          <w:i/>
          <w:color w:val="000000"/>
          <w:sz w:val="22"/>
        </w:rPr>
        <w:t>Restricted Stock Unit</w:t>
      </w:r>
      <w:r>
        <w:rPr>
          <w:color w:val="000000"/>
        </w:rPr>
        <w:t xml:space="preserve">” </w:t>
      </w:r>
      <w:r>
        <w:rPr>
          <w:rFonts w:ascii="Times New Roman" w:hAnsi="Times New Roman"/>
          <w:color w:val="000000"/>
          <w:sz w:val="22"/>
        </w:rPr>
        <w:t>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2.36</w:t>
      </w:r>
    </w:p>
    <w:p>
      <w:pPr>
        <w:pStyle w:val="TextBody"/>
        <w:bidi w:val="0"/>
        <w:spacing w:before="0" w:after="240"/>
        <w:jc w:val="both"/>
        <w:rPr/>
      </w:pPr>
      <w:r>
        <w:rPr>
          <w:color w:val="000000"/>
        </w:rPr>
        <w:t>“</w:t>
      </w:r>
      <w:r>
        <w:rPr>
          <w:rFonts w:ascii="Times New Roman" w:hAnsi="Times New Roman"/>
          <w:b/>
          <w:i/>
          <w:color w:val="000000"/>
          <w:sz w:val="22"/>
        </w:rPr>
        <w:t>Rule 16b-3</w:t>
      </w:r>
      <w:r>
        <w:rPr>
          <w:color w:val="000000"/>
        </w:rPr>
        <w:t xml:space="preserve">” </w:t>
      </w:r>
      <w:r>
        <w:rPr>
          <w:rFonts w:ascii="Times New Roman" w:hAnsi="Times New Roman"/>
          <w:color w:val="000000"/>
          <w:sz w:val="22"/>
        </w:rPr>
        <w:t>means Rule 16b-3 promulgated under the Exchange Act.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2.37</w:t>
      </w:r>
    </w:p>
    <w:p>
      <w:pPr>
        <w:pStyle w:val="TextBody"/>
        <w:bidi w:val="0"/>
        <w:spacing w:before="0" w:after="240"/>
        <w:jc w:val="both"/>
        <w:rPr/>
      </w:pPr>
      <w:r>
        <w:rPr>
          <w:color w:val="000000"/>
        </w:rPr>
        <w:t>“</w:t>
      </w:r>
      <w:r>
        <w:rPr>
          <w:rFonts w:ascii="Times New Roman" w:hAnsi="Times New Roman"/>
          <w:b/>
          <w:i/>
          <w:color w:val="000000"/>
          <w:sz w:val="22"/>
        </w:rPr>
        <w:t>Section 409A</w:t>
      </w:r>
      <w:r>
        <w:rPr>
          <w:color w:val="000000"/>
        </w:rPr>
        <w:t xml:space="preserve">” </w:t>
      </w:r>
      <w:r>
        <w:rPr>
          <w:rFonts w:ascii="Times New Roman" w:hAnsi="Times New Roman"/>
          <w:color w:val="000000"/>
          <w:sz w:val="22"/>
        </w:rPr>
        <w:t>means Section 409A of the Code.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2.38</w:t>
      </w:r>
    </w:p>
    <w:p>
      <w:pPr>
        <w:pStyle w:val="TextBody"/>
        <w:bidi w:val="0"/>
        <w:spacing w:before="0" w:after="240"/>
        <w:jc w:val="both"/>
        <w:rPr/>
      </w:pPr>
      <w:r>
        <w:rPr>
          <w:color w:val="000000"/>
        </w:rPr>
        <w:t>“</w:t>
      </w:r>
      <w:r>
        <w:rPr>
          <w:rFonts w:ascii="Times New Roman" w:hAnsi="Times New Roman"/>
          <w:b/>
          <w:i/>
          <w:color w:val="000000"/>
          <w:sz w:val="22"/>
        </w:rPr>
        <w:t>Securities Act</w:t>
      </w:r>
      <w:r>
        <w:rPr>
          <w:color w:val="000000"/>
        </w:rPr>
        <w:t xml:space="preserve">” </w:t>
      </w:r>
      <w:r>
        <w:rPr>
          <w:rFonts w:ascii="Times New Roman" w:hAnsi="Times New Roman"/>
          <w:color w:val="000000"/>
          <w:sz w:val="22"/>
        </w:rPr>
        <w:t>means the Securities Act of 1933, as amended, and all regulations, guidance and other interpretative authority issued thereunder.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2.39</w:t>
      </w:r>
    </w:p>
    <w:p>
      <w:pPr>
        <w:pStyle w:val="TextBody"/>
        <w:bidi w:val="0"/>
        <w:spacing w:before="0" w:after="240"/>
        <w:jc w:val="both"/>
        <w:rPr/>
      </w:pPr>
      <w:r>
        <w:rPr>
          <w:color w:val="000000"/>
        </w:rPr>
        <w:t>“</w:t>
      </w:r>
      <w:r>
        <w:rPr>
          <w:rFonts w:ascii="Times New Roman" w:hAnsi="Times New Roman"/>
          <w:b/>
          <w:i/>
          <w:color w:val="000000"/>
          <w:sz w:val="22"/>
        </w:rPr>
        <w:t>Service Provider</w:t>
      </w:r>
      <w:r>
        <w:rPr>
          <w:color w:val="000000"/>
        </w:rPr>
        <w:t xml:space="preserve">” </w:t>
      </w:r>
      <w:r>
        <w:rPr>
          <w:rFonts w:ascii="Times New Roman" w:hAnsi="Times New Roman"/>
          <w:color w:val="000000"/>
          <w:sz w:val="22"/>
        </w:rPr>
        <w:t>means an Employee, Consultant or Director.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2.40</w:t>
      </w:r>
    </w:p>
    <w:p>
      <w:pPr>
        <w:pStyle w:val="TextBody"/>
        <w:bidi w:val="0"/>
        <w:spacing w:before="0" w:after="240"/>
        <w:jc w:val="both"/>
        <w:rPr/>
      </w:pPr>
      <w:r>
        <w:rPr>
          <w:color w:val="000000"/>
        </w:rPr>
        <w:t>“</w:t>
      </w:r>
      <w:r>
        <w:rPr>
          <w:rFonts w:ascii="Times New Roman" w:hAnsi="Times New Roman"/>
          <w:b/>
          <w:i/>
          <w:color w:val="000000"/>
          <w:sz w:val="22"/>
        </w:rPr>
        <w:t>Shares</w:t>
      </w:r>
      <w:r>
        <w:rPr>
          <w:color w:val="000000"/>
        </w:rPr>
        <w:t xml:space="preserve">” </w:t>
      </w:r>
      <w:r>
        <w:rPr>
          <w:rFonts w:ascii="Times New Roman" w:hAnsi="Times New Roman"/>
          <w:color w:val="000000"/>
          <w:sz w:val="22"/>
        </w:rPr>
        <w:t>means shares of Common Stock.</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2.41</w:t>
      </w:r>
    </w:p>
    <w:p>
      <w:pPr>
        <w:pStyle w:val="TextBody"/>
        <w:bidi w:val="0"/>
        <w:spacing w:before="0" w:after="240"/>
        <w:jc w:val="both"/>
        <w:rPr/>
      </w:pPr>
      <w:r>
        <w:rPr>
          <w:color w:val="000000"/>
        </w:rPr>
        <w:t>“</w:t>
      </w:r>
      <w:r>
        <w:rPr>
          <w:rFonts w:ascii="Times New Roman" w:hAnsi="Times New Roman"/>
          <w:b/>
          <w:i/>
          <w:color w:val="000000"/>
          <w:sz w:val="22"/>
        </w:rPr>
        <w:t>Stock Appreciation Right</w:t>
      </w:r>
      <w:r>
        <w:rPr>
          <w:color w:val="000000"/>
        </w:rPr>
        <w:t xml:space="preserve">” </w:t>
      </w:r>
      <w:r>
        <w:rPr>
          <w:rFonts w:ascii="Times New Roman" w:hAnsi="Times New Roman"/>
          <w:color w:val="000000"/>
          <w:sz w:val="22"/>
        </w:rPr>
        <w:t>or “</w:t>
      </w:r>
      <w:r>
        <w:rPr>
          <w:rFonts w:ascii="Times New Roman" w:hAnsi="Times New Roman"/>
          <w:b/>
          <w:i/>
          <w:color w:val="000000"/>
          <w:sz w:val="22"/>
        </w:rPr>
        <w:t>SAR</w:t>
      </w:r>
      <w:r>
        <w:rPr>
          <w:color w:val="000000"/>
        </w:rPr>
        <w:t xml:space="preserve">” </w:t>
      </w:r>
      <w:r>
        <w:rPr>
          <w:rFonts w:ascii="Times New Roman" w:hAnsi="Times New Roman"/>
          <w:color w:val="000000"/>
          <w:sz w:val="22"/>
        </w:rPr>
        <w:t>means a right granted under Article VI to receive a payment equal to the excess of the Fair Market Value of a specified number of Shares on the date the right is exercised over the exercise price set forth in the applicable Award Agreement.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2.42</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2.43</w:t>
      </w:r>
    </w:p>
    <w:p>
      <w:pPr>
        <w:pStyle w:val="TextBody"/>
        <w:bidi w:val="0"/>
        <w:spacing w:before="0" w:after="240"/>
        <w:jc w:val="both"/>
        <w:rPr/>
      </w:pPr>
      <w:r>
        <w:rPr>
          <w:color w:val="000000"/>
        </w:rPr>
        <w:t>“</w:t>
      </w:r>
      <w:r>
        <w:rPr>
          <w:rFonts w:ascii="Times New Roman" w:hAnsi="Times New Roman"/>
          <w:b/>
          <w:i/>
          <w:color w:val="000000"/>
          <w:sz w:val="22"/>
        </w:rPr>
        <w:t>Substitute Awards</w:t>
      </w:r>
      <w:r>
        <w:rPr>
          <w:color w:val="000000"/>
        </w:rPr>
        <w:t xml:space="preserve">” </w:t>
      </w:r>
      <w:r>
        <w:rPr>
          <w:rFonts w:ascii="Times New Roman" w:hAnsi="Times New Roman"/>
          <w:color w:val="000000"/>
          <w:sz w:val="22"/>
        </w:rPr>
        <w:t>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2.44</w:t>
      </w:r>
    </w:p>
    <w:p>
      <w:pPr>
        <w:pStyle w:val="TextBody"/>
        <w:bidi w:val="0"/>
        <w:spacing w:before="0" w:after="240"/>
        <w:jc w:val="both"/>
        <w:rPr/>
      </w:pPr>
      <w:r>
        <w:rPr>
          <w:color w:val="000000"/>
        </w:rPr>
        <w:t>“</w:t>
      </w:r>
      <w:r>
        <w:rPr>
          <w:rFonts w:ascii="Times New Roman" w:hAnsi="Times New Roman"/>
          <w:b/>
          <w:i/>
          <w:color w:val="000000"/>
          <w:sz w:val="22"/>
        </w:rPr>
        <w:t>Termination of Service</w:t>
      </w:r>
      <w:r>
        <w:rPr>
          <w:color w:val="00000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to a Non-Employee Director, the time when a Participant who is a Non</w:t>
        <w:noBreakHyphen/>
        <w:t>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Eligible Employees are eligible to be granted Awards under the Plan, subject to the limitations described herein. No Eligible Employee shall have any right to be granted an Award pursuant to the Plan and neither the Company nor the Administrator is obligated to treat Eligible Employees, Service Providers, Participants or any other persons uniformly.</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Administration and Delegation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4.1</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Plan is administered by the Administrator. The Administrator has authority to determine which Eligible Employees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and may impose,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such Employee has not been previously employed by the Company or a Subsidiary, or if previously employed, has had a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period of non-employment, and that the grant of an Award under the Plan is an inducement material to such Employee’s agreement to enter into employment with the Company or a Subsidiary.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r>
        <w:rPr>
          <w:color w:val="00000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w:t>
      </w:r>
    </w:p>
    <w:p>
      <w:pPr>
        <w:pStyle w:val="TextBody"/>
        <w:bidi w:val="0"/>
        <w:spacing w:before="0" w:after="240"/>
        <w:jc w:val="center"/>
        <w:rPr/>
      </w:pPr>
      <w:r>
        <w:rPr>
          <w:rFonts w:ascii="Times New Roman" w:hAnsi="Times New Roman"/>
          <w:caps/>
          <w:color w:val="000000"/>
          <w:sz w:val="22"/>
        </w:rPr>
        <w:br/>
      </w:r>
      <w:r>
        <w:rPr>
          <w:rFonts w:ascii="Times New Roman" w:hAnsi="Times New Roman"/>
          <w:b/>
          <w:caps/>
          <w:color w:val="000000"/>
          <w:sz w:val="22"/>
        </w:rPr>
        <w:t>Stock Available for Awards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w:t>
      </w:r>
    </w:p>
    <w:p>
      <w:pPr>
        <w:pStyle w:val="TextBody"/>
        <w:bidi w:val="0"/>
        <w:spacing w:before="0" w:after="240"/>
        <w:jc w:val="both"/>
        <w:rPr/>
      </w:pPr>
      <w:r>
        <w:rPr>
          <w:rFonts w:ascii="Times New Roman" w:hAnsi="Times New Roman"/>
          <w:color w:val="000000"/>
          <w:sz w:val="22"/>
          <w:u w:val="single"/>
        </w:rPr>
        <w:t>Number of Shares</w:t>
      </w:r>
      <w:r>
        <w:rPr>
          <w:rFonts w:ascii="Times New Roman" w:hAnsi="Times New Roman"/>
          <w:color w:val="000000"/>
          <w:sz w:val="22"/>
        </w:rPr>
        <w:t xml:space="preserve">. Subject to adjustment under Article IX and the terms of this Article V, Awards may be made under the Plan covering up to 600,000 Shares. Shares issued or delivered under the Plan may consist of authorized but unissued Shares, Shares purchased on the open market or treasury Shares.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5.2</w:t>
      </w:r>
    </w:p>
    <w:p>
      <w:pPr>
        <w:pStyle w:val="TextBody"/>
        <w:bidi w:val="0"/>
        <w:spacing w:before="0" w:after="240"/>
        <w:jc w:val="both"/>
        <w:rPr/>
      </w:pPr>
      <w:r>
        <w:rPr>
          <w:rFonts w:ascii="Times New Roman" w:hAnsi="Times New Roman"/>
          <w:color w:val="000000"/>
          <w:sz w:val="22"/>
          <w:u w:val="single"/>
        </w:rPr>
        <w:t>Share Recycling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all or any part of an Award expires, lapses or is terminated, converted into an award in respect of shares of another entity in connection with a spin-off or other similar event,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Awards under the Plan. The payment of Dividend Equivalents in cash in conjunction with any outstanding Awards shall not count against the number of Shares that may be issued under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addition, the following Shares shall be available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5.3</w:t>
      </w:r>
    </w:p>
    <w:p>
      <w:pPr>
        <w:pStyle w:val="TextBody"/>
        <w:bidi w:val="0"/>
        <w:spacing w:before="0" w:after="240"/>
        <w:jc w:val="both"/>
        <w:rPr/>
      </w:pPr>
      <w:r>
        <w:rPr>
          <w:rFonts w:ascii="Times New Roman" w:hAnsi="Times New Roman"/>
          <w:color w:val="000000"/>
          <w:sz w:val="22"/>
          <w:u w:val="single"/>
        </w:rPr>
        <w:t>Substitute Awards</w:t>
      </w:r>
      <w:r>
        <w:rPr>
          <w:rFonts w:ascii="Times New Roman" w:hAnsi="Times New Roman"/>
          <w:color w:val="000000"/>
          <w:sz w:val="22"/>
        </w:rPr>
        <w:t>.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Shares reserved for issuance under the Plan (nor shall Shares subject to a Substitute Award be added to the Shares available for Awards under the Plan as provided above). Additionally, in the event that a company acquired by the Company or any Subsidiary or with which the Company or any Subsidiary combines has shares available under a pre</w:t>
        <w:noBreakHyphen/>
        <w:t>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Stock Options and Stock Appreciation Rights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6.1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The Administrator may grant Options or Stock Appreciation Rights to one or more Eligible Employees,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6.2</w:t>
      </w:r>
    </w:p>
    <w:p>
      <w:pPr>
        <w:pStyle w:val="TextBody"/>
        <w:bidi w:val="0"/>
        <w:spacing w:before="0" w:after="240"/>
        <w:jc w:val="both"/>
        <w:rPr/>
      </w:pPr>
      <w:r>
        <w:rPr>
          <w:rFonts w:ascii="Times New Roman" w:hAnsi="Times New Roman"/>
          <w:color w:val="000000"/>
          <w:sz w:val="22"/>
          <w:u w:val="single"/>
        </w:rPr>
        <w:t>Exercise Price</w:t>
      </w:r>
      <w:r>
        <w:rPr>
          <w:rFonts w:ascii="Times New Roman" w:hAnsi="Times New Roman"/>
          <w:color w:val="000000"/>
          <w:sz w:val="22"/>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 424 and 409A of the Code.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6.3</w:t>
      </w:r>
    </w:p>
    <w:p>
      <w:pPr>
        <w:pStyle w:val="TextBody"/>
        <w:bidi w:val="0"/>
        <w:spacing w:before="0" w:after="240"/>
        <w:jc w:val="both"/>
        <w:rPr/>
      </w:pPr>
      <w:r>
        <w:rPr>
          <w:rFonts w:ascii="Times New Roman" w:hAnsi="Times New Roman"/>
          <w:color w:val="000000"/>
          <w:sz w:val="22"/>
          <w:u w:val="single"/>
        </w:rPr>
        <w:t>Duration of Options</w:t>
      </w:r>
      <w:r>
        <w:rPr>
          <w:rFonts w:ascii="Times New Roman" w:hAnsi="Times New Roman"/>
          <w:color w:val="000000"/>
          <w:sz w:val="22"/>
        </w:rPr>
        <w:t xml:space="preserve">. Each Option or Stock Appreciation Right will be exercisable at such times and as specified in the Award Agreement, provided that 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6.4</w:t>
      </w:r>
    </w:p>
    <w:p>
      <w:pPr>
        <w:pStyle w:val="TextBody"/>
        <w:bidi w:val="0"/>
        <w:spacing w:before="0" w:after="240"/>
        <w:jc w:val="both"/>
        <w:rPr/>
      </w:pPr>
      <w:r>
        <w:rPr>
          <w:rFonts w:ascii="Times New Roman" w:hAnsi="Times New Roman"/>
          <w:color w:val="000000"/>
          <w:sz w:val="22"/>
          <w:u w:val="single"/>
        </w:rPr>
        <w:t>Exercise</w:t>
      </w:r>
      <w:r>
        <w:rPr>
          <w:rFonts w:ascii="Times New Roman" w:hAnsi="Times New Roman"/>
          <w:color w:val="000000"/>
          <w:sz w:val="22"/>
        </w:rPr>
        <w:t xml:space="preserve">.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 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6.5</w:t>
      </w:r>
    </w:p>
    <w:p>
      <w:pPr>
        <w:pStyle w:val="TextBody"/>
        <w:bidi w:val="0"/>
        <w:spacing w:before="0" w:after="240"/>
        <w:jc w:val="both"/>
        <w:rPr/>
      </w:pPr>
      <w:r>
        <w:rPr>
          <w:rFonts w:ascii="Times New Roman" w:hAnsi="Times New Roman"/>
          <w:color w:val="000000"/>
          <w:sz w:val="22"/>
          <w:u w:val="single"/>
        </w:rPr>
        <w:t>Payment Upon Exercise</w:t>
      </w:r>
      <w:r>
        <w:rPr>
          <w:rFonts w:ascii="Times New Roman" w:hAnsi="Times New Roman"/>
          <w:color w:val="000000"/>
          <w:sz w:val="22"/>
        </w:rPr>
        <w:t xml:space="preserve">. The Administrator shall determine the methods by which payment of the exercise price of an Option shall be made, including, without limitation: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check or wire transfer of immediately available funds; provided that the Company may limit the use of one of the foregoing methods if one or more of the methods below is permitted;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permitted by the Administrator, delivery (either by actual delivery or attestation) of Shares owned by the Participant valued at their Fair Market Value on the date of delivery;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extent permitted by the Administrator, surrendering Shares then issuable upon the Option’s exercise valued at their Fair Market Value on the exercise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permitted by the Administrator, delivery of a promissory note or any other lawful consideration;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permitted by the Administrator, any combination of the above payment forms.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Restricted Stock; Restricted Stock Units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7.1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The Administrator may grant Restricted Stock, or the right to purchase Restricted Stock, to any Eligible Employee, subject to forfeiture or the Company’s right to repurchase all or part of such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Eligible Employees.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Restricted Stock and Restricted Stock Unit Award shall set forth the terms and conditions not inconsistent with the Plan as the Administrator shall determine.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7.2</w:t>
      </w:r>
    </w:p>
    <w:p>
      <w:pPr>
        <w:pStyle w:val="TextBody"/>
        <w:bidi w:val="0"/>
        <w:spacing w:before="0" w:after="240"/>
        <w:jc w:val="both"/>
        <w:rPr/>
      </w:pPr>
      <w:r>
        <w:rPr>
          <w:rFonts w:ascii="Times New Roman" w:hAnsi="Times New Roman"/>
          <w:color w:val="000000"/>
          <w:sz w:val="22"/>
          <w:u w:val="single"/>
        </w:rPr>
        <w:t>Restricted Stock</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Stockholder Rights</w:t>
      </w:r>
      <w:r>
        <w:rPr>
          <w:rFonts w:ascii="Times New Roman" w:hAnsi="Times New Roman"/>
          <w:color w:val="000000"/>
          <w:sz w:val="22"/>
        </w:rPr>
        <w:t xml:space="preserve">. Unless otherwise determined by the Administrator, each Participant holding shares of Restricted Stock will be entitled to all the rights of a stockholder with respect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as described in Section 8.3,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Stock Certificates</w:t>
      </w:r>
      <w:r>
        <w:rPr>
          <w:rFonts w:ascii="Times New Roman" w:hAnsi="Times New Roman"/>
          <w:color w:val="000000"/>
          <w:sz w:val="22"/>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Section 83(b) Election</w:t>
      </w:r>
      <w:r>
        <w:rPr>
          <w:rFonts w:ascii="Times New Roman" w:hAnsi="Times New Roman"/>
          <w:color w:val="000000"/>
          <w:sz w:val="22"/>
        </w:rPr>
        <w:t xml:space="preserve">. If a Participant makes an election under Section 83(b) of the Code to be taxed with respect to 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7.3</w:t>
      </w:r>
    </w:p>
    <w:p>
      <w:pPr>
        <w:pStyle w:val="TextBody"/>
        <w:bidi w:val="0"/>
        <w:spacing w:before="0" w:after="240"/>
        <w:jc w:val="both"/>
        <w:rPr/>
      </w:pPr>
      <w:r>
        <w:rPr>
          <w:rFonts w:ascii="Times New Roman" w:hAnsi="Times New Roman"/>
          <w:color w:val="000000"/>
          <w:sz w:val="22"/>
          <w:u w:val="single"/>
        </w:rPr>
        <w:t>Restricted Stock Units</w:t>
      </w:r>
      <w:r>
        <w:rPr>
          <w:rFonts w:ascii="Times New Roman" w:hAnsi="Times New Roman"/>
          <w:color w:val="000000"/>
          <w:sz w:val="22"/>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OTHER TYPES OF AWARDS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8.1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The Administrator may grant Performance Stock Unit Awards, Performance Bonus Awards, Dividend Equivalents or Other Stock or Cash Based Awards, to one or more Eligible Employees, in such amounts and subject to such terms and conditions not inconsistent with the Plan as the Administrator shall determine.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8.2</w:t>
      </w:r>
    </w:p>
    <w:p>
      <w:pPr>
        <w:pStyle w:val="TextBody"/>
        <w:bidi w:val="0"/>
        <w:spacing w:before="0" w:after="240"/>
        <w:jc w:val="both"/>
        <w:rPr/>
      </w:pPr>
      <w:r>
        <w:rPr>
          <w:rFonts w:ascii="Times New Roman" w:hAnsi="Times New Roman"/>
          <w:color w:val="000000"/>
          <w:sz w:val="22"/>
          <w:u w:val="single"/>
        </w:rPr>
        <w:t>Performance Stock Unit Awards</w:t>
      </w:r>
      <w:r>
        <w:rPr>
          <w:rFonts w:ascii="Times New Roman" w:hAnsi="Times New Roman"/>
          <w:color w:val="000000"/>
          <w:sz w:val="22"/>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8.3</w:t>
      </w:r>
    </w:p>
    <w:p>
      <w:pPr>
        <w:pStyle w:val="TextBody"/>
        <w:bidi w:val="0"/>
        <w:spacing w:before="0" w:after="240"/>
        <w:jc w:val="both"/>
        <w:rPr/>
      </w:pPr>
      <w:r>
        <w:rPr>
          <w:rFonts w:ascii="Times New Roman" w:hAnsi="Times New Roman"/>
          <w:color w:val="000000"/>
          <w:sz w:val="22"/>
          <w:u w:val="single"/>
        </w:rPr>
        <w:t>Performance Bonus Awards</w:t>
      </w:r>
      <w:r>
        <w:rPr>
          <w:rFonts w:ascii="Times New Roman" w:hAnsi="Times New Roman"/>
          <w:color w:val="000000"/>
          <w:sz w:val="22"/>
        </w:rPr>
        <w:t>. Each right to receive a bonus granted under this Section 8.3 shall be denominated in the form of cash (but may be payable in cash, stock or a combination thereof) (a “</w:t>
      </w:r>
      <w:r>
        <w:rPr>
          <w:rFonts w:ascii="Times New Roman" w:hAnsi="Times New Roman"/>
          <w:b/>
          <w:i/>
          <w:color w:val="000000"/>
          <w:sz w:val="22"/>
        </w:rPr>
        <w:t>Performance Bonus Award</w:t>
      </w:r>
      <w:r>
        <w:rPr>
          <w:color w:val="000000"/>
        </w:rPr>
        <w:t>”</w:t>
      </w:r>
      <w:r>
        <w:rPr>
          <w:rFonts w:ascii="Times New Roman" w:hAnsi="Times New Roman"/>
          <w:color w:val="000000"/>
          <w:sz w:val="22"/>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8.4</w:t>
      </w:r>
    </w:p>
    <w:p>
      <w:pPr>
        <w:pStyle w:val="TextBody"/>
        <w:bidi w:val="0"/>
        <w:spacing w:before="0" w:after="240"/>
        <w:jc w:val="both"/>
        <w:rPr/>
      </w:pPr>
      <w:r>
        <w:rPr>
          <w:rFonts w:ascii="Times New Roman" w:hAnsi="Times New Roman"/>
          <w:color w:val="000000"/>
          <w:sz w:val="22"/>
          <w:u w:val="single"/>
        </w:rPr>
        <w:t>Dividend Equivalents</w:t>
      </w:r>
      <w:r>
        <w:rPr>
          <w:rFonts w:ascii="Times New Roman" w:hAnsi="Times New Roman"/>
          <w:color w:val="000000"/>
          <w:sz w:val="22"/>
        </w:rPr>
        <w:t xml:space="preserve">.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8.5</w:t>
      </w:r>
    </w:p>
    <w:p>
      <w:pPr>
        <w:pStyle w:val="TextBody"/>
        <w:bidi w:val="0"/>
        <w:spacing w:before="0" w:after="240"/>
        <w:jc w:val="both"/>
        <w:rPr/>
      </w:pPr>
      <w:r>
        <w:rPr>
          <w:rFonts w:ascii="Times New Roman" w:hAnsi="Times New Roman"/>
          <w:color w:val="000000"/>
          <w:sz w:val="22"/>
          <w:u w:val="single"/>
        </w:rPr>
        <w:t>Other Stock or Cash Based Awards</w:t>
      </w:r>
      <w:r>
        <w:rPr>
          <w:rFonts w:ascii="Times New Roman" w:hAnsi="Times New Roman"/>
          <w:color w:val="000000"/>
          <w:sz w:val="22"/>
        </w:rPr>
        <w:t xml:space="preserve">.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IX.</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Adjustments for Changes in Common Stock </w:t>
        <w:br/>
        <w:t>and Certain Other Events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9.1</w:t>
      </w:r>
    </w:p>
    <w:p>
      <w:pPr>
        <w:pStyle w:val="TextBody"/>
        <w:bidi w:val="0"/>
        <w:spacing w:before="0" w:after="240"/>
        <w:jc w:val="both"/>
        <w:rPr/>
      </w:pPr>
      <w:r>
        <w:rPr>
          <w:rFonts w:ascii="Times New Roman" w:hAnsi="Times New Roman"/>
          <w:color w:val="000000"/>
          <w:sz w:val="22"/>
          <w:u w:val="single"/>
        </w:rPr>
        <w:t>Equity Restructuring</w:t>
      </w:r>
      <w:r>
        <w:rPr>
          <w:rFonts w:ascii="Times New Roman" w:hAnsi="Times New Roman"/>
          <w:color w:val="000000"/>
          <w:sz w:val="22"/>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9.2</w:t>
      </w:r>
    </w:p>
    <w:p>
      <w:pPr>
        <w:pStyle w:val="TextBody"/>
        <w:bidi w:val="0"/>
        <w:spacing w:before="0" w:after="240"/>
        <w:jc w:val="both"/>
        <w:rPr/>
      </w:pPr>
      <w:r>
        <w:rPr>
          <w:rFonts w:ascii="Times New Roman" w:hAnsi="Times New Roman"/>
          <w:color w:val="000000"/>
          <w:sz w:val="22"/>
          <w:u w:val="single"/>
        </w:rPr>
        <w:t>Corporate Transactions</w:t>
      </w:r>
      <w:r>
        <w:rPr>
          <w:rFonts w:ascii="Times New Roman" w:hAnsi="Times New Roman"/>
          <w:color w:val="000000"/>
          <w:sz w:val="22"/>
        </w:rPr>
        <w:t xml:space="preserve">. In the event of any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provide that such Award shall vest and, to the extent applicable, be exercisable as to all Shares (or other property) covered thereby, notwithstanding anything to the contrary in the Plan or the provisions of such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make adjustments in the number and type of shares of Common Stock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replace such Award with other rights or property selected by the Administrator;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provide that the Award will terminate and cannot vest, be exercised or become payable after the applicable event.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9.3</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that the successor corporation in a Change in Control refuses to assume or substitute for an Award (other than any portion subject to performance-based vesting), the Administrator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15 days from the date of such notice, contingent upon the occurrence of the Change in Control, and such Award shall terminate upon the consummation of the Change in Control in accordance with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9.4</w:t>
      </w:r>
    </w:p>
    <w:p>
      <w:pPr>
        <w:pStyle w:val="TextBody"/>
        <w:bidi w:val="0"/>
        <w:spacing w:before="0" w:after="240"/>
        <w:jc w:val="both"/>
        <w:rPr/>
      </w:pPr>
      <w:r>
        <w:rPr>
          <w:rFonts w:ascii="Times New Roman" w:hAnsi="Times New Roman"/>
          <w:color w:val="000000"/>
          <w:sz w:val="22"/>
          <w:u w:val="single"/>
        </w:rPr>
        <w:t>Administrative Stand Still</w:t>
      </w:r>
      <w:r>
        <w:rPr>
          <w:rFonts w:ascii="Times New Roman" w:hAnsi="Times New Roman"/>
          <w:color w:val="000000"/>
          <w:sz w:val="22"/>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9.5</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w:t>
      </w:r>
    </w:p>
    <w:p>
      <w:pPr>
        <w:pStyle w:val="TextBody"/>
        <w:bidi w:val="0"/>
        <w:spacing w:before="0" w:after="240"/>
        <w:jc w:val="center"/>
        <w:rPr/>
      </w:pPr>
      <w:r>
        <w:rPr>
          <w:rFonts w:ascii="Times New Roman" w:hAnsi="Times New Roman"/>
          <w:b/>
          <w:caps/>
          <w:color w:val="000000"/>
          <w:sz w:val="22"/>
        </w:rPr>
        <w:br/>
        <w:t>Provisions Applicable to Awards</w:t>
      </w:r>
      <w:r>
        <w:rPr>
          <w:caps/>
          <w:color w:val="000000"/>
        </w:rPr>
        <w:t xml:space="preserv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10.1</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Section 10.1(a), the Administrator, in its sole discretion, may determine to permit a Participant or a Permitted Transferee of such Participant to transfer an Award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10.2</w:t>
      </w:r>
    </w:p>
    <w:p>
      <w:pPr>
        <w:pStyle w:val="TextBody"/>
        <w:bidi w:val="0"/>
        <w:spacing w:before="0" w:after="240"/>
        <w:jc w:val="both"/>
        <w:rPr/>
      </w:pPr>
      <w:r>
        <w:rPr>
          <w:rFonts w:ascii="Times New Roman" w:hAnsi="Times New Roman"/>
          <w:color w:val="000000"/>
          <w:sz w:val="22"/>
          <w:u w:val="single"/>
        </w:rPr>
        <w:t>Documentation</w:t>
      </w:r>
      <w:r>
        <w:rPr>
          <w:rFonts w:ascii="Times New Roman" w:hAnsi="Times New Roman"/>
          <w:color w:val="000000"/>
          <w:sz w:val="22"/>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10.3</w:t>
      </w:r>
    </w:p>
    <w:p>
      <w:pPr>
        <w:pStyle w:val="TextBody"/>
        <w:bidi w:val="0"/>
        <w:spacing w:before="0" w:after="240"/>
        <w:jc w:val="both"/>
        <w:rPr/>
      </w:pPr>
      <w:r>
        <w:rPr>
          <w:rFonts w:ascii="Times New Roman" w:hAnsi="Times New Roman"/>
          <w:color w:val="000000"/>
          <w:sz w:val="22"/>
          <w:u w:val="single"/>
        </w:rPr>
        <w:t>Discretion</w:t>
      </w:r>
      <w:r>
        <w:rPr>
          <w:rFonts w:ascii="Times New Roman" w:hAnsi="Times New Roman"/>
          <w:color w:val="000000"/>
          <w:sz w:val="22"/>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10.4</w:t>
      </w:r>
    </w:p>
    <w:p>
      <w:pPr>
        <w:pStyle w:val="TextBody"/>
        <w:bidi w:val="0"/>
        <w:spacing w:before="0" w:after="240"/>
        <w:jc w:val="both"/>
        <w:rPr/>
      </w:pPr>
      <w:r>
        <w:rPr>
          <w:rFonts w:ascii="Times New Roman" w:hAnsi="Times New Roman"/>
          <w:color w:val="000000"/>
          <w:sz w:val="22"/>
          <w:u w:val="single"/>
        </w:rPr>
        <w:t>Changes in Participant’s Status</w:t>
      </w:r>
      <w:r>
        <w:rPr>
          <w:rFonts w:ascii="Times New Roman" w:hAnsi="Times New Roman"/>
          <w:color w:val="000000"/>
          <w:sz w:val="22"/>
        </w:rPr>
        <w:t xml:space="preserve">. The Administrator will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Designated Beneficiary may exercise rights under the Award, if applicable. Except to the extent otherwise required by law or expressly authorized by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or by the Company’s written policy on leaves of absence, no Service credit shall be given for vesting purposes for any period the Participant is on a leave of absence.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10.5</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Administrator otherwise determines, (A) delivery (including electronically or telephonically to the extent permitted by the Company) of a notice that the Participant has placed a market sell order with a broker acceptable to the Company with respect to Shares then issuable in respect of the Award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 time as may be required by the Company, (iv) to the extent permitted by the Administrator, delivery of a promissory note or any other lawful consideration or (v) to the extent permitted by the Administrator,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10.6</w:t>
      </w:r>
    </w:p>
    <w:p>
      <w:pPr>
        <w:pStyle w:val="TextBody"/>
        <w:bidi w:val="0"/>
        <w:spacing w:before="0" w:after="240"/>
        <w:jc w:val="both"/>
        <w:rPr/>
      </w:pPr>
      <w:r>
        <w:rPr>
          <w:rFonts w:ascii="Times New Roman" w:hAnsi="Times New Roman"/>
          <w:color w:val="000000"/>
          <w:sz w:val="22"/>
          <w:u w:val="single"/>
        </w:rPr>
        <w:t>Amendment of Award; Repricing</w:t>
      </w:r>
      <w:r>
        <w:rPr>
          <w:rFonts w:ascii="Times New Roman" w:hAnsi="Times New Roman"/>
          <w:color w:val="000000"/>
          <w:sz w:val="22"/>
        </w:rPr>
        <w:t>. The Administrator may amend, modify or terminate any outstanding Award, including by substituting another Award of the same or a different type and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10.7</w:t>
      </w:r>
    </w:p>
    <w:p>
      <w:pPr>
        <w:pStyle w:val="TextBody"/>
        <w:bidi w:val="0"/>
        <w:spacing w:before="0" w:after="240"/>
        <w:jc w:val="both"/>
        <w:rPr/>
      </w:pPr>
      <w:r>
        <w:rPr>
          <w:rFonts w:ascii="Times New Roman" w:hAnsi="Times New Roman"/>
          <w:color w:val="000000"/>
          <w:sz w:val="22"/>
          <w:u w:val="single"/>
        </w:rPr>
        <w:t>Conditions on Delivery of Stock</w:t>
      </w:r>
      <w:r>
        <w:rPr>
          <w:rFonts w:ascii="Times New Roman" w:hAnsi="Times New Roman"/>
          <w:color w:val="000000"/>
          <w:sz w:val="22"/>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The Company’s inability to obtain authority from any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10.8</w:t>
      </w:r>
    </w:p>
    <w:p>
      <w:pPr>
        <w:pStyle w:val="TextBody"/>
        <w:bidi w:val="0"/>
        <w:spacing w:before="0" w:after="240"/>
        <w:jc w:val="both"/>
        <w:rPr/>
      </w:pPr>
      <w:r>
        <w:rPr>
          <w:rFonts w:ascii="Times New Roman" w:hAnsi="Times New Roman"/>
          <w:color w:val="000000"/>
          <w:sz w:val="22"/>
          <w:u w:val="single"/>
        </w:rPr>
        <w:t>Acceleration</w:t>
      </w:r>
      <w:r>
        <w:rPr>
          <w:rFonts w:ascii="Times New Roman" w:hAnsi="Times New Roman"/>
          <w:color w:val="000000"/>
          <w:sz w:val="22"/>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XI.</w:t>
      </w:r>
    </w:p>
    <w:p>
      <w:pPr>
        <w:pStyle w:val="TextBody"/>
        <w:bidi w:val="0"/>
        <w:spacing w:before="0" w:after="240"/>
        <w:jc w:val="center"/>
        <w:rPr/>
      </w:pPr>
      <w:r>
        <w:rPr>
          <w:rFonts w:ascii="Times New Roman" w:hAnsi="Times New Roman"/>
          <w:b/>
          <w:caps/>
          <w:color w:val="000000"/>
          <w:sz w:val="22"/>
        </w:rPr>
        <w:br/>
        <w:t>Miscellaneous</w:t>
      </w:r>
      <w:r>
        <w:rPr>
          <w:caps/>
          <w:color w:val="000000"/>
        </w:rPr>
        <w:t xml:space="preserv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w:t>
      </w:r>
    </w:p>
    <w:p>
      <w:pPr>
        <w:pStyle w:val="TextBody"/>
        <w:bidi w:val="0"/>
        <w:spacing w:before="0" w:after="240"/>
        <w:jc w:val="both"/>
        <w:rPr/>
      </w:pPr>
      <w:r>
        <w:rPr>
          <w:rFonts w:ascii="Times New Roman" w:hAnsi="Times New Roman"/>
          <w:color w:val="000000"/>
          <w:sz w:val="22"/>
          <w:u w:val="single"/>
        </w:rPr>
        <w:t>No Right to Employment or Other Status</w:t>
      </w:r>
      <w:r>
        <w:rPr>
          <w:rFonts w:ascii="Times New Roman" w:hAnsi="Times New Roman"/>
          <w:color w:val="000000"/>
          <w:sz w:val="22"/>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11.2</w:t>
      </w:r>
    </w:p>
    <w:p>
      <w:pPr>
        <w:pStyle w:val="TextBody"/>
        <w:bidi w:val="0"/>
        <w:spacing w:before="0" w:after="240"/>
        <w:jc w:val="both"/>
        <w:rPr/>
      </w:pPr>
      <w:r>
        <w:rPr>
          <w:rFonts w:ascii="Times New Roman" w:hAnsi="Times New Roman"/>
          <w:color w:val="000000"/>
          <w:sz w:val="22"/>
          <w:u w:val="single"/>
        </w:rPr>
        <w:t>No Rights as Stockholder; Certificates</w:t>
      </w:r>
      <w:r>
        <w:rPr>
          <w:rFonts w:ascii="Times New Roman" w:hAnsi="Times New Roman"/>
          <w:color w:val="000000"/>
          <w:sz w:val="22"/>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11.3</w:t>
      </w:r>
    </w:p>
    <w:p>
      <w:pPr>
        <w:pStyle w:val="TextBody"/>
        <w:bidi w:val="0"/>
        <w:spacing w:before="0" w:after="240"/>
        <w:jc w:val="both"/>
        <w:rPr/>
      </w:pPr>
      <w:r>
        <w:rPr>
          <w:rFonts w:ascii="Times New Roman" w:hAnsi="Times New Roman"/>
          <w:color w:val="000000"/>
          <w:sz w:val="22"/>
          <w:u w:val="single"/>
        </w:rPr>
        <w:t>Effective Date</w:t>
      </w:r>
      <w:r>
        <w:rPr>
          <w:rFonts w:ascii="Times New Roman" w:hAnsi="Times New Roman"/>
          <w:color w:val="000000"/>
          <w:sz w:val="22"/>
        </w:rPr>
        <w:t>. The Plan will become effective on the date the Board approves and adopts the Plan (the “</w:t>
      </w:r>
      <w:r>
        <w:rPr>
          <w:rFonts w:ascii="Times New Roman" w:hAnsi="Times New Roman"/>
          <w:b/>
          <w:i/>
          <w:color w:val="000000"/>
          <w:sz w:val="22"/>
        </w:rPr>
        <w:t>Effective Date</w:t>
      </w:r>
      <w:r>
        <w:rPr>
          <w:color w:val="000000"/>
        </w:rPr>
        <w:t>”</w:t>
      </w:r>
      <w:r>
        <w:rPr>
          <w:rFonts w:ascii="Times New Roman" w:hAnsi="Times New Roman"/>
          <w:color w:val="000000"/>
          <w:sz w:val="22"/>
        </w:rPr>
        <w:t xml:space="preserve">).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 Plan may only be made to employees who have not previously been an employee or director of the Company or a Subsidiary, or following a bona fide period of non-employment by the Company or a Subsidiary, as an inducement material to the employee’s entering into employment with the Company or a Subsidiary. Awards under the Plan will be approved by (i) the Compensation Committee of the Board, comprised of Non-Employee Directors or (ii) a majority of the Company’s Non-Employee Directors. Accordingly, pursuant to Nasdaq Stock Market Rule 5635(c)(4), the issuance of Awards and the Shares issuable upon exercise or vesting of such Awards pursuant to the Plan are not subject to the approval of the Company’s stockholders.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11.4</w:t>
      </w:r>
    </w:p>
    <w:p>
      <w:pPr>
        <w:pStyle w:val="TextBody"/>
        <w:bidi w:val="0"/>
        <w:spacing w:before="0" w:after="240"/>
        <w:jc w:val="both"/>
        <w:rPr/>
      </w:pPr>
      <w:r>
        <w:rPr>
          <w:rFonts w:ascii="Times New Roman" w:hAnsi="Times New Roman"/>
          <w:color w:val="000000"/>
          <w:sz w:val="22"/>
          <w:u w:val="single"/>
        </w:rPr>
        <w:t>Amendment of Plan</w:t>
      </w:r>
      <w:r>
        <w:rPr>
          <w:rFonts w:ascii="Times New Roman" w:hAnsi="Times New Roman"/>
          <w:color w:val="000000"/>
          <w:sz w:val="22"/>
        </w:rPr>
        <w:t xml:space="preserve">. The Board may amend, suspend or terminate the Plan at any time and from time to time; provided that (a) no amendment requiring stockholder approval to comply with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Applicable Law shall be effective unless approved by the Board, and (b) no amendment, other than an increase to the Shares reserved for issuance under the Plan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w:t>
      </w:r>
      <w:r>
        <w:rPr>
          <w:color w:val="000000"/>
        </w:rPr>
        <w:t xml:space="preserv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11.5</w:t>
      </w:r>
    </w:p>
    <w:p>
      <w:pPr>
        <w:pStyle w:val="TextBody"/>
        <w:bidi w:val="0"/>
        <w:spacing w:before="0" w:after="240"/>
        <w:jc w:val="both"/>
        <w:rPr/>
      </w:pPr>
      <w:r>
        <w:rPr>
          <w:rFonts w:ascii="Times New Roman" w:hAnsi="Times New Roman"/>
          <w:color w:val="000000"/>
          <w:sz w:val="22"/>
          <w:u w:val="single"/>
        </w:rPr>
        <w:t>Provisions for Foreign Participants</w:t>
      </w:r>
      <w:r>
        <w:rPr>
          <w:rFonts w:ascii="Times New Roman" w:hAnsi="Times New Roman"/>
          <w:color w:val="000000"/>
          <w:sz w:val="22"/>
        </w:rPr>
        <w:t xml:space="preserve">. The Administrator may modify Awards granted to Participants who are foreign nationals or employed outside the United States, establish subplans or procedures under the Plan or take any other necessary or appropriate action to address Applicable Law, including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11.6</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General</w:t>
      </w:r>
      <w:r>
        <w:rPr>
          <w:rFonts w:ascii="Times New Roman" w:hAnsi="Times New Roman"/>
          <w:color w:val="000000"/>
          <w:sz w:val="22"/>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Separation from Service</w:t>
      </w:r>
      <w:r>
        <w:rPr>
          <w:rFonts w:ascii="Times New Roman" w:hAnsi="Times New Roman"/>
          <w:color w:val="000000"/>
          <w:sz w:val="22"/>
        </w:rPr>
        <w:t>. If an Award constitutes “nonqualified deferred compensation” under Section 409A, any 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Payments to Specified Employees</w:t>
      </w:r>
      <w:r>
        <w:rPr>
          <w:rFonts w:ascii="Times New Roman" w:hAnsi="Times New Roman"/>
          <w:color w:val="000000"/>
          <w:sz w:val="22"/>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11.7</w:t>
      </w:r>
    </w:p>
    <w:p>
      <w:pPr>
        <w:pStyle w:val="TextBody"/>
        <w:bidi w:val="0"/>
        <w:spacing w:before="0" w:after="240"/>
        <w:jc w:val="both"/>
        <w:rPr/>
      </w:pPr>
      <w:r>
        <w:rPr>
          <w:rFonts w:ascii="Times New Roman" w:hAnsi="Times New Roman"/>
          <w:color w:val="000000"/>
          <w:sz w:val="22"/>
          <w:u w:val="single"/>
        </w:rPr>
        <w:t>Limitations on Liability</w:t>
      </w:r>
      <w:r>
        <w:rPr>
          <w:rFonts w:ascii="Times New Roman" w:hAnsi="Times New Roman"/>
          <w:color w:val="000000"/>
          <w:sz w:val="22"/>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11.8</w:t>
      </w:r>
    </w:p>
    <w:p>
      <w:pPr>
        <w:pStyle w:val="TextBody"/>
        <w:bidi w:val="0"/>
        <w:spacing w:before="0" w:after="240"/>
        <w:jc w:val="both"/>
        <w:rPr/>
      </w:pPr>
      <w:r>
        <w:rPr>
          <w:rFonts w:ascii="Times New Roman" w:hAnsi="Times New Roman"/>
          <w:color w:val="000000"/>
          <w:sz w:val="22"/>
          <w:u w:val="single"/>
        </w:rPr>
        <w:t>Data Privacy</w:t>
      </w:r>
      <w:r>
        <w:rPr>
          <w:rFonts w:ascii="Times New Roman" w:hAnsi="Times New Roman"/>
          <w:color w:val="000000"/>
          <w:sz w:val="22"/>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hAnsi="Times New Roman"/>
          <w:b/>
          <w:i/>
          <w:color w:val="000000"/>
          <w:sz w:val="22"/>
        </w:rPr>
        <w:t>Data</w:t>
      </w:r>
      <w:r>
        <w:rPr>
          <w:color w:val="000000"/>
        </w:rPr>
        <w:t>”</w:t>
      </w:r>
      <w:r>
        <w:rPr>
          <w:rFonts w:ascii="Times New Roman" w:hAnsi="Times New Roman"/>
          <w:color w:val="000000"/>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11.9</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11.10</w:t>
      </w:r>
    </w:p>
    <w:p>
      <w:pPr>
        <w:pStyle w:val="TextBody"/>
        <w:bidi w:val="0"/>
        <w:spacing w:before="0" w:after="240"/>
        <w:jc w:val="both"/>
        <w:rPr/>
      </w:pPr>
      <w:r>
        <w:rPr>
          <w:rFonts w:ascii="Times New Roman" w:hAnsi="Times New Roman"/>
          <w:color w:val="000000"/>
          <w:sz w:val="22"/>
          <w:u w:val="single"/>
        </w:rPr>
        <w:t>Governing Documents</w:t>
      </w:r>
      <w:r>
        <w:rPr>
          <w:rFonts w:ascii="Times New Roman" w:hAnsi="Times New Roman"/>
          <w:color w:val="000000"/>
          <w:sz w:val="22"/>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11.11</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The Plan and all Awards will be governed by and interpreted in accordance with the laws of the State of Delaware, without regard to the conflict of law rules thereof or of any other jurisdiction.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11.12</w:t>
      </w:r>
    </w:p>
    <w:p>
      <w:pPr>
        <w:pStyle w:val="TextBody"/>
        <w:bidi w:val="0"/>
        <w:spacing w:before="0" w:after="240"/>
        <w:jc w:val="both"/>
        <w:rPr/>
      </w:pPr>
      <w:r>
        <w:rPr>
          <w:rFonts w:ascii="Times New Roman" w:hAnsi="Times New Roman"/>
          <w:color w:val="000000"/>
          <w:sz w:val="22"/>
          <w:u w:val="single"/>
        </w:rPr>
        <w:t>Clawback Provisions</w:t>
      </w:r>
      <w:r>
        <w:rPr>
          <w:rFonts w:ascii="Times New Roman" w:hAnsi="Times New Roman"/>
          <w:color w:val="000000"/>
          <w:sz w:val="22"/>
        </w:rPr>
        <w:t xml:space="preserve">.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11.13</w:t>
      </w:r>
    </w:p>
    <w:p>
      <w:pPr>
        <w:pStyle w:val="TextBody"/>
        <w:bidi w:val="0"/>
        <w:spacing w:before="0" w:after="240"/>
        <w:jc w:val="both"/>
        <w:rPr/>
      </w:pPr>
      <w:r>
        <w:rPr>
          <w:rFonts w:ascii="Times New Roman" w:hAnsi="Times New Roman"/>
          <w:color w:val="000000"/>
          <w:sz w:val="22"/>
          <w:u w:val="single"/>
        </w:rPr>
        <w:t>Titles and Headings</w:t>
      </w:r>
      <w:r>
        <w:rPr>
          <w:rFonts w:ascii="Times New Roman" w:hAnsi="Times New Roman"/>
          <w:color w:val="000000"/>
          <w:sz w:val="22"/>
        </w:rPr>
        <w:t>. The titles and headings in the Plan are for convenience of reference only and, if any conflict, the Plan’s text, rather than such titles or headings, will control.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11.14</w:t>
      </w:r>
    </w:p>
    <w:p>
      <w:pPr>
        <w:pStyle w:val="TextBody"/>
        <w:bidi w:val="0"/>
        <w:spacing w:before="0" w:after="240"/>
        <w:jc w:val="both"/>
        <w:rPr/>
      </w:pPr>
      <w:r>
        <w:rPr>
          <w:rFonts w:ascii="Times New Roman" w:hAnsi="Times New Roman"/>
          <w:color w:val="000000"/>
          <w:sz w:val="22"/>
          <w:u w:val="single"/>
        </w:rPr>
        <w:t>Conformity to Applicable Law</w:t>
      </w:r>
      <w:r>
        <w:rPr>
          <w:rFonts w:ascii="Times New Roman" w:hAnsi="Times New Roman"/>
          <w:color w:val="000000"/>
          <w:sz w:val="22"/>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 the Plan and all Award Agreements will be deemed amended as necessary to conform to Applicable Law.</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11.15</w:t>
      </w:r>
    </w:p>
    <w:p>
      <w:pPr>
        <w:pStyle w:val="TextBody"/>
        <w:bidi w:val="0"/>
        <w:spacing w:before="0" w:after="240"/>
        <w:jc w:val="both"/>
        <w:rPr/>
      </w:pPr>
      <w:r>
        <w:rPr>
          <w:rFonts w:ascii="Times New Roman" w:hAnsi="Times New Roman"/>
          <w:color w:val="000000"/>
          <w:sz w:val="22"/>
          <w:u w:val="single"/>
        </w:rPr>
        <w:t>Relationship to Other Benefits</w:t>
      </w:r>
      <w:r>
        <w:rPr>
          <w:rFonts w:ascii="Times New Roman" w:hAnsi="Times New Roman"/>
          <w:color w:val="000000"/>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11.16</w:t>
      </w:r>
    </w:p>
    <w:p>
      <w:pPr>
        <w:pStyle w:val="TextBody"/>
        <w:bidi w:val="0"/>
        <w:spacing w:before="0" w:after="240"/>
        <w:jc w:val="both"/>
        <w:rPr/>
      </w:pPr>
      <w:r>
        <w:rPr>
          <w:rFonts w:ascii="Times New Roman" w:hAnsi="Times New Roman"/>
          <w:color w:val="000000"/>
          <w:sz w:val="22"/>
          <w:u w:val="single"/>
        </w:rPr>
        <w:t>Unfunded Status of Awards</w:t>
      </w:r>
      <w:r>
        <w:rPr>
          <w:rFonts w:ascii="Times New Roman" w:hAnsi="Times New Roman"/>
          <w:color w:val="000000"/>
          <w:sz w:val="22"/>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11.17</w:t>
      </w:r>
    </w:p>
    <w:p>
      <w:pPr>
        <w:pStyle w:val="TextBody"/>
        <w:bidi w:val="0"/>
        <w:spacing w:before="0" w:after="24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noBreakHyphen/>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11.18</w:t>
      </w:r>
    </w:p>
    <w:p>
      <w:pPr>
        <w:pStyle w:val="TextBody"/>
        <w:bidi w:val="0"/>
        <w:spacing w:before="0" w:after="240"/>
        <w:jc w:val="both"/>
        <w:rPr/>
      </w:pPr>
      <w:r>
        <w:rPr>
          <w:rFonts w:ascii="Times New Roman" w:hAnsi="Times New Roman"/>
          <w:color w:val="000000"/>
          <w:sz w:val="22"/>
          <w:u w:val="single"/>
        </w:rPr>
        <w:t>Prohibition on Executive Officer Loans</w:t>
      </w:r>
      <w:r>
        <w:rPr>
          <w:rFonts w:ascii="Times New Roman" w:hAnsi="Times New Roman"/>
          <w:color w:val="000000"/>
          <w:sz w:val="22"/>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11.19</w:t>
      </w:r>
    </w:p>
    <w:p>
      <w:pPr>
        <w:pStyle w:val="TextBody"/>
        <w:bidi w:val="0"/>
        <w:spacing w:before="0" w:after="240"/>
        <w:jc w:val="both"/>
        <w:rPr/>
      </w:pPr>
      <w:r>
        <w:rPr>
          <w:rFonts w:ascii="Times New Roman" w:hAnsi="Times New Roman"/>
          <w:color w:val="000000"/>
          <w:sz w:val="22"/>
          <w:u w:val="single"/>
        </w:rPr>
        <w:t>Broker-Assisted Sales</w:t>
      </w:r>
      <w:r>
        <w:rPr>
          <w:rFonts w:ascii="Times New Roman" w:hAnsi="Times New Roman"/>
          <w:color w:val="000000"/>
          <w:sz w:val="22"/>
        </w:rPr>
        <w:t xml:space="preserve">.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 * * *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33" w:name="algs-ex10_1b.htm"/>
      <w:bookmarkStart w:id="34" w:name="ksalgsex10_1b"/>
      <w:bookmarkEnd w:id="33"/>
      <w:bookmarkEnd w:id="34"/>
      <w:r>
        <w:rPr>
          <w:rFonts w:ascii="Times New Roman" w:hAnsi="Times New Roman"/>
          <w:color w:val="000000"/>
          <w:sz w:val="22"/>
        </w:rPr>
        <w:t>Exhibit 10.1(b)</w:t>
      </w:r>
      <w:r>
        <w:br w:type="page"/>
      </w:r>
    </w:p>
    <w:p>
      <w:pPr>
        <w:pStyle w:val="TextBody"/>
        <w:bidi w:val="0"/>
        <w:spacing w:before="0" w:after="240"/>
        <w:jc w:val="center"/>
        <w:rPr>
          <w:rFonts w:ascii="Times New Roman" w:hAnsi="Times New Roman"/>
          <w:sz w:val="20"/>
        </w:rPr>
      </w:pPr>
      <w:r>
        <w:rPr>
          <w:rFonts w:ascii="Times New Roman" w:hAnsi="Times New Roman"/>
          <w:b/>
          <w:smallCaps/>
          <w:color w:val="000000"/>
          <w:sz w:val="22"/>
        </w:rPr>
        <w:t>Aligos Therapeutics, Inc.</w:t>
      </w:r>
      <w:r>
        <w:rPr>
          <w:rFonts w:ascii="Times New Roman" w:hAnsi="Times New Roman"/>
          <w:b/>
          <w:caps/>
          <w:color w:val="000000"/>
          <w:sz w:val="22"/>
        </w:rPr>
        <w:br/>
      </w:r>
      <w:r>
        <w:rPr>
          <w:rFonts w:ascii="Times New Roman" w:hAnsi="Times New Roman"/>
          <w:b/>
          <w:smallCaps/>
          <w:color w:val="000000"/>
          <w:sz w:val="22"/>
        </w:rPr>
        <w:t>2024 Employment Inducement AWARD PLAN</w:t>
        <w:br/>
        <w:t>STOCK OPTION GRANT NOTICE</w:t>
      </w:r>
    </w:p>
    <w:p>
      <w:pPr>
        <w:pStyle w:val="TextBody"/>
        <w:bidi w:val="0"/>
        <w:spacing w:before="0" w:after="240"/>
        <w:jc w:val="both"/>
        <w:rPr>
          <w:rFonts w:ascii="Times New Roman" w:hAnsi="Times New Roman"/>
          <w:sz w:val="20"/>
        </w:rPr>
      </w:pPr>
      <w:r>
        <w:rPr>
          <w:rFonts w:ascii="Times New Roman" w:hAnsi="Times New Roman"/>
          <w:color w:val="000000"/>
          <w:sz w:val="22"/>
        </w:rPr>
        <w:t>Aligos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pursuant to its 2024 Employment Inducement Award Plan, as may be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hereby grants to the holder listed below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an option to purchase the number of shares of the Company’s Common Stock (the “</w:t>
      </w:r>
      <w:r>
        <w:rPr>
          <w:rFonts w:ascii="Times New Roman" w:hAnsi="Times New Roman"/>
          <w:b/>
          <w:i/>
          <w:color w:val="000000"/>
          <w:sz w:val="22"/>
        </w:rPr>
        <w:t>Shares</w:t>
      </w:r>
      <w:r>
        <w:rPr>
          <w:rFonts w:ascii="Times New Roman" w:hAnsi="Times New Roman"/>
          <w:color w:val="000000"/>
          <w:sz w:val="20"/>
        </w:rPr>
        <w:t>”</w:t>
      </w:r>
      <w:r>
        <w:rPr>
          <w:rFonts w:ascii="Times New Roman" w:hAnsi="Times New Roman"/>
          <w:color w:val="000000"/>
          <w:sz w:val="22"/>
        </w:rPr>
        <w:t>), set forth below (the “</w:t>
      </w:r>
      <w:r>
        <w:rPr>
          <w:rFonts w:ascii="Times New Roman" w:hAnsi="Times New Roman"/>
          <w:b/>
          <w:i/>
          <w:color w:val="000000"/>
          <w:sz w:val="22"/>
        </w:rPr>
        <w:t>Option</w:t>
      </w:r>
      <w:r>
        <w:rPr>
          <w:rFonts w:ascii="Times New Roman" w:hAnsi="Times New Roman"/>
          <w:color w:val="000000"/>
          <w:sz w:val="20"/>
        </w:rPr>
        <w:t>”</w:t>
      </w:r>
      <w:r>
        <w:rPr>
          <w:rFonts w:ascii="Times New Roman" w:hAnsi="Times New Roman"/>
          <w:color w:val="000000"/>
          <w:sz w:val="22"/>
        </w:rPr>
        <w:t xml:space="preserve">). This Option is subject to all of the terms and conditions set forth herein, as well as in the Plan and the Stock Option Agreement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Stock Option Agreement</w:t>
      </w:r>
      <w:r>
        <w:rPr>
          <w:rFonts w:ascii="Times New Roman" w:hAnsi="Times New Roman"/>
          <w:color w:val="000000"/>
          <w:sz w:val="20"/>
        </w:rPr>
        <w:t>”</w:t>
      </w:r>
      <w:r>
        <w:rPr>
          <w:rFonts w:ascii="Times New Roman" w:hAnsi="Times New Roman"/>
          <w:color w:val="000000"/>
          <w:sz w:val="22"/>
        </w:rPr>
        <w:t>), each of which are incorporated herein by reference. Unless otherwise defined herein, the terms defined in the Plan shall have the same defined meanings in this Grant Notice and the Stock Option Agreement.</w:t>
      </w:r>
    </w:p>
    <w:tbl>
      <w:tblPr>
        <w:tblW w:w="6496" w:type="dxa"/>
        <w:jc w:val="left"/>
        <w:tblInd w:w="0" w:type="dxa"/>
        <w:tblLayout w:type="fixed"/>
        <w:tblCellMar>
          <w:top w:w="28" w:type="dxa"/>
          <w:left w:w="28" w:type="dxa"/>
          <w:bottom w:w="28" w:type="dxa"/>
          <w:right w:w="28" w:type="dxa"/>
        </w:tblCellMar>
      </w:tblPr>
      <w:tblGrid>
        <w:gridCol w:w="4688"/>
        <w:gridCol w:w="1808"/>
      </w:tblGrid>
      <w:tr>
        <w:trPr/>
        <w:tc>
          <w:tcPr>
            <w:tcW w:w="468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ind w:left="0" w:right="0" w:firstLine="7"/>
              <w:jc w:val="left"/>
              <w:rPr>
                <w:sz w:val="4"/>
                <w:szCs w:val="4"/>
              </w:rPr>
            </w:pPr>
            <w:r>
              <w:rPr>
                <w:sz w:val="4"/>
                <w:szCs w:val="4"/>
              </w:rPr>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Participant:</w:t>
            </w:r>
          </w:p>
        </w:tc>
        <w:tc>
          <w:tcPr>
            <w:tcW w:w="1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Grant Date:</w:t>
            </w:r>
          </w:p>
        </w:tc>
        <w:tc>
          <w:tcPr>
            <w:tcW w:w="1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Vesting Commencement Date:</w:t>
            </w:r>
          </w:p>
        </w:tc>
        <w:tc>
          <w:tcPr>
            <w:tcW w:w="1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Exercise Price per Share:</w:t>
            </w:r>
          </w:p>
        </w:tc>
        <w:tc>
          <w:tcPr>
            <w:tcW w:w="1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w:t>
            </w:r>
          </w:p>
        </w:tc>
      </w:tr>
      <w:tr>
        <w:trPr/>
        <w:tc>
          <w:tcPr>
            <w:tcW w:w="4688"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Total Exercise Price:</w:t>
            </w:r>
          </w:p>
        </w:tc>
        <w:tc>
          <w:tcPr>
            <w:tcW w:w="1808"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Total Number of Shares Subject to the Option:</w:t>
            </w:r>
          </w:p>
        </w:tc>
        <w:tc>
          <w:tcPr>
            <w:tcW w:w="1808"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 xml:space="preserve">[____________] </w:t>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Expiration Date:</w:t>
            </w:r>
          </w:p>
        </w:tc>
        <w:tc>
          <w:tcPr>
            <w:tcW w:w="1808"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Vesting Schedule:</w:t>
            </w:r>
          </w:p>
        </w:tc>
        <w:tc>
          <w:tcPr>
            <w:tcW w:w="1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[____________]</w:t>
            </w:r>
          </w:p>
        </w:tc>
      </w:tr>
    </w:tbl>
    <w:p>
      <w:pPr>
        <w:pStyle w:val="TextBody"/>
        <w:bidi w:val="0"/>
        <w:spacing w:before="240" w:after="283"/>
        <w:jc w:val="left"/>
        <w:rPr>
          <w:rFonts w:ascii="Times New Roman" w:hAnsi="Times New Roman"/>
          <w:sz w:val="20"/>
        </w:rPr>
      </w:pPr>
      <w:r>
        <w:rPr>
          <w:rFonts w:ascii="Times New Roman" w:hAnsi="Times New Roman"/>
          <w:b/>
          <w:color w:val="000000"/>
          <w:sz w:val="22"/>
        </w:rPr>
        <w:t xml:space="preserve">Type of Option: </w:t>
      </w:r>
      <w:r>
        <w:rPr>
          <w:rFonts w:ascii="Times New Roman" w:hAnsi="Times New Roman"/>
          <w:color w:val="000000"/>
          <w:sz w:val="22"/>
        </w:rPr>
        <w:t>Nonqualified Stock Option</w:t>
      </w:r>
    </w:p>
    <w:p>
      <w:pPr>
        <w:pStyle w:val="TextBody"/>
        <w:bidi w:val="0"/>
        <w:spacing w:before="240" w:after="240"/>
        <w:jc w:val="both"/>
        <w:rPr>
          <w:rFonts w:ascii="Times New Roman" w:hAnsi="Times New Roman"/>
          <w:sz w:val="20"/>
        </w:rPr>
      </w:pPr>
      <w:r>
        <w:rPr>
          <w:rFonts w:ascii="Times New Roman" w:hAnsi="Times New Roman"/>
          <w:color w:val="000000"/>
          <w:sz w:val="22"/>
        </w:rPr>
        <w:t>By his or her signature and the Company’s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decisions or interpretations of the Administrator upon any questions arising under the Plan, the Stock Option Agreement or this Grant Notice.</w:t>
      </w:r>
      <w:r>
        <w:rPr>
          <w:rFonts w:ascii="Times New Roman" w:hAnsi="Times New Roman"/>
          <w:color w:val="000000"/>
          <w:sz w:val="20"/>
        </w:rPr>
        <w:t xml:space="preserve"> </w:t>
      </w:r>
    </w:p>
    <w:tbl>
      <w:tblPr>
        <w:tblW w:w="6285" w:type="dxa"/>
        <w:jc w:val="left"/>
        <w:tblInd w:w="0" w:type="dxa"/>
        <w:tblLayout w:type="fixed"/>
        <w:tblCellMar>
          <w:top w:w="28" w:type="dxa"/>
          <w:left w:w="28" w:type="dxa"/>
          <w:bottom w:w="28" w:type="dxa"/>
          <w:right w:w="28" w:type="dxa"/>
        </w:tblCellMar>
      </w:tblPr>
      <w:tblGrid>
        <w:gridCol w:w="3849"/>
        <w:gridCol w:w="636"/>
        <w:gridCol w:w="1476"/>
        <w:gridCol w:w="324"/>
      </w:tblGrid>
      <w:tr>
        <w:trPr/>
        <w:tc>
          <w:tcPr>
            <w:tcW w:w="384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485"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Times New Roman" w:hAnsi="Times New Roman"/>
                <w:b/>
                <w:caps/>
                <w:color w:val="000000"/>
                <w:sz w:val="22"/>
              </w:rPr>
              <w:t>Aligos Therapeutics, Inc.:</w:t>
            </w:r>
            <w:r>
              <w:rPr>
                <w:rFonts w:ascii="Times New Roman" w:hAnsi="Times New Roman"/>
                <w:smallCaps/>
                <w:color w:val="000000"/>
                <w:sz w:val="22"/>
              </w:rPr>
              <w:t> </w:t>
            </w:r>
            <w:r>
              <w:rPr>
                <w:rFonts w:ascii="Times New Roman" w:hAnsi="Times New Roman"/>
                <w:b/>
                <w:smallCaps/>
                <w:color w:val="000000"/>
                <w:sz w:val="22"/>
              </w:rPr>
              <w:t>Holder:</w:t>
            </w:r>
          </w:p>
        </w:tc>
        <w:tc>
          <w:tcPr>
            <w:tcW w:w="18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w:t>
            </w:r>
          </w:p>
        </w:tc>
      </w:tr>
      <w:tr>
        <w:trPr/>
        <w:tc>
          <w:tcPr>
            <w:tcW w:w="3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Print Name: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Print Name: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Address: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Address: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9"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sz w:val="20"/>
        </w:rPr>
      </w:pPr>
      <w:r>
        <w:rPr>
          <w:rFonts w:ascii="Times New Roman" w:hAnsi="Times New Roman"/>
          <w:b/>
          <w:smallCaps/>
          <w:color w:val="000000"/>
          <w:sz w:val="22"/>
        </w:rPr>
        <w:t>TO STOCK OPTION GRANT NOTICE</w:t>
        <w:br/>
        <w:br/>
      </w:r>
      <w:r>
        <w:rPr>
          <w:rFonts w:ascii="Times New Roman" w:hAnsi="Times New Roman"/>
          <w:b/>
          <w:color w:val="000000"/>
          <w:sz w:val="22"/>
        </w:rPr>
        <w:t>STOCK</w:t>
      </w:r>
      <w:r>
        <w:rPr>
          <w:rFonts w:ascii="Times New Roman" w:hAnsi="Times New Roman"/>
          <w:smallCaps/>
          <w:color w:val="000000"/>
          <w:sz w:val="20"/>
        </w:rPr>
        <w:t xml:space="preserve"> </w:t>
      </w:r>
      <w:r>
        <w:rPr>
          <w:rFonts w:ascii="Times New Roman" w:hAnsi="Times New Roman"/>
          <w:b/>
          <w:smallCaps/>
          <w:color w:val="000000"/>
          <w:sz w:val="22"/>
        </w:rPr>
        <w:t>OPTION AGREEMENT</w:t>
      </w:r>
    </w:p>
    <w:p>
      <w:pPr>
        <w:pStyle w:val="TextBody"/>
        <w:bidi w:val="0"/>
        <w:spacing w:before="0" w:after="240"/>
        <w:jc w:val="both"/>
        <w:rPr>
          <w:rFonts w:ascii="Times New Roman" w:hAnsi="Times New Roman"/>
          <w:sz w:val="20"/>
        </w:rPr>
      </w:pPr>
      <w:r>
        <w:rPr>
          <w:rFonts w:ascii="Times New Roman" w:hAnsi="Times New Roman"/>
          <w:color w:val="000000"/>
          <w:sz w:val="22"/>
        </w:rPr>
        <w:t>Pursuant to the Stock Option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to which this Stock Option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attached, Aligos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granted to the Participant an Option under the Company’s 2024 Employment Inducement Award Plan, as may be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to purchase the number of Shares indicated in the Grant Notice.</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GENERAL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Capitalized terms not specifically defined herein shall have the meanings specified in the Plan and the Grant Notice.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1.2</w:t>
      </w:r>
    </w:p>
    <w:p>
      <w:pPr>
        <w:pStyle w:val="TextBody"/>
        <w:bidi w:val="0"/>
        <w:spacing w:before="0" w:after="240"/>
        <w:jc w:val="both"/>
        <w:rPr/>
      </w:pPr>
      <w:r>
        <w:rPr>
          <w:rFonts w:ascii="Times New Roman" w:hAnsi="Times New Roman"/>
          <w:color w:val="000000"/>
          <w:sz w:val="22"/>
          <w:u w:val="single"/>
        </w:rPr>
        <w:t>Incorporation of Terms of Plan</w:t>
      </w:r>
      <w:r>
        <w:rPr>
          <w:rFonts w:ascii="Times New Roman" w:hAnsi="Times New Roman"/>
          <w:color w:val="000000"/>
          <w:sz w:val="22"/>
        </w:rPr>
        <w:t>. The Option is subject to the terms and conditions of the Plan which are incorporated herein by reference. In the event of any inconsistency between the Plan and this Agreement, the terms of the Plan shall control.</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GRANT OF OPTION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Grant of Option</w:t>
      </w:r>
      <w:r>
        <w:rPr>
          <w:rFonts w:ascii="Times New Roman" w:hAnsi="Times New Roman"/>
          <w:color w:val="000000"/>
          <w:sz w:val="22"/>
        </w:rPr>
        <w:t xml:space="preserve">. In </w:t>
      </w:r>
      <w:bookmarkStart w:id="35" w:name="ole_link6"/>
      <w:bookmarkEnd w:id="35"/>
      <w:r>
        <w:rPr>
          <w:rFonts w:ascii="Times New Roman" w:hAnsi="Times New Roman"/>
          <w:color w:val="000000"/>
          <w:sz w:val="22"/>
        </w:rPr>
        <w:t>consideration of the Participant’s commencement of employment and as an inducement to enter into employment with the Company or any Subsidiary and for other good and valuable consideration, effective as of the Grant Date set forth in the Grant Notice (the “</w:t>
      </w:r>
      <w:r>
        <w:rPr>
          <w:rFonts w:ascii="Times New Roman" w:hAnsi="Times New Roman"/>
          <w:b/>
          <w:i/>
          <w:color w:val="000000"/>
          <w:sz w:val="22"/>
        </w:rPr>
        <w:t>Grant Date</w:t>
      </w:r>
      <w:r>
        <w:rPr>
          <w:color w:val="000000"/>
        </w:rPr>
        <w:t>”</w:t>
      </w:r>
      <w:r>
        <w:rPr>
          <w:rFonts w:ascii="Times New Roman" w:hAnsi="Times New Roman"/>
          <w:color w:val="000000"/>
          <w:sz w:val="22"/>
        </w:rPr>
        <w:t>), the Company irrevocably grants to the Participant the Option to purchase any part or all of an aggregate of the number of Shares set forth in the Grant Notice, upon the terms and conditions set forth in the Plan and this Agreement, subject to adjustments as provided in Article IX of the Plan. The Option constitutes a Nonqualified Stock Option.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0" w:after="240"/>
        <w:jc w:val="both"/>
        <w:rPr/>
      </w:pPr>
      <w:r>
        <w:rPr>
          <w:rFonts w:ascii="Times New Roman" w:hAnsi="Times New Roman"/>
          <w:color w:val="000000"/>
          <w:sz w:val="22"/>
          <w:u w:val="single"/>
        </w:rPr>
        <w:t>Exercise Price</w:t>
      </w:r>
      <w:r>
        <w:rPr>
          <w:rFonts w:ascii="Times New Roman" w:hAnsi="Times New Roman"/>
          <w:color w:val="000000"/>
          <w:sz w:val="22"/>
        </w:rPr>
        <w:t xml:space="preserve">. The exercise price of the Shares subject to the Option shall be as set forth in the Grant Notice, without commission or other charge;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price per share of the Shares subject to the Option shall not be less than 100% of the Fair Market Value of a Share on the Grant Date.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Consideration to the Company</w:t>
      </w:r>
      <w:r>
        <w:rPr>
          <w:rFonts w:ascii="Times New Roman" w:hAnsi="Times New Roman"/>
          <w:color w:val="000000"/>
          <w:sz w:val="22"/>
        </w:rPr>
        <w:t xml:space="preserve">. In consideration of the grant of the Option by the Company, </w:t>
      </w:r>
      <w:bookmarkStart w:id="36" w:name="ole_link8"/>
      <w:bookmarkEnd w:id="36"/>
      <w:r>
        <w:rPr>
          <w:rFonts w:ascii="Times New Roman" w:hAnsi="Times New Roman"/>
          <w:color w:val="000000"/>
          <w:sz w:val="22"/>
        </w:rPr>
        <w:t>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PERIOD OF EXERCISABILITY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w:t>
      </w:r>
    </w:p>
    <w:p>
      <w:pPr>
        <w:pStyle w:val="TextBody"/>
        <w:bidi w:val="0"/>
        <w:spacing w:before="0" w:after="240"/>
        <w:jc w:val="both"/>
        <w:rPr/>
      </w:pPr>
      <w:r>
        <w:rPr>
          <w:rFonts w:ascii="Times New Roman" w:hAnsi="Times New Roman"/>
          <w:color w:val="000000"/>
          <w:sz w:val="22"/>
          <w:u w:val="single"/>
        </w:rPr>
        <w:t>Commencement of Exercisability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Sections 3.2, 3.3, 5.11 and 5.16 hereof, the Option shall become vested and exercisable in such amounts and at such times as are set forth in the Grant Notice.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portion of the Option which has not become vested and exercisable at the date of the Participant’s Termination of Service shall thereafter become vested and exercisable, except as may be otherwise provided by the Administrator or as set forth in a written agreement between the Company and the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Section 3.1(a) hereof and the Grant Notice, but subject to Section 3.1(b) hereof, in the event of a Change in Control the Option shall be treated pursuant to Sections 9.2 and 9.3 of the Plan.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3.2</w:t>
      </w:r>
    </w:p>
    <w:p>
      <w:pPr>
        <w:pStyle w:val="TextBody"/>
        <w:bidi w:val="0"/>
        <w:spacing w:before="0" w:after="240"/>
        <w:jc w:val="both"/>
        <w:rPr/>
      </w:pPr>
      <w:r>
        <w:rPr>
          <w:rFonts w:ascii="Times New Roman" w:hAnsi="Times New Roman"/>
          <w:color w:val="000000"/>
          <w:sz w:val="22"/>
          <w:u w:val="single"/>
        </w:rPr>
        <w:t>Duration of Exercisability</w:t>
      </w:r>
      <w:r>
        <w:rPr>
          <w:rFonts w:ascii="Times New Roman" w:hAnsi="Times New Roman"/>
          <w:color w:val="000000"/>
          <w:sz w:val="22"/>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3.3</w:t>
      </w:r>
    </w:p>
    <w:p>
      <w:pPr>
        <w:pStyle w:val="TextBody"/>
        <w:bidi w:val="0"/>
        <w:spacing w:before="0" w:after="240"/>
        <w:jc w:val="both"/>
        <w:rPr/>
      </w:pPr>
      <w:r>
        <w:rPr>
          <w:rFonts w:ascii="Times New Roman" w:hAnsi="Times New Roman"/>
          <w:color w:val="000000"/>
          <w:sz w:val="22"/>
          <w:u w:val="single"/>
        </w:rPr>
        <w:t>Expiration of Option</w:t>
      </w:r>
      <w:r>
        <w:rPr>
          <w:rFonts w:ascii="Times New Roman" w:hAnsi="Times New Roman"/>
          <w:color w:val="000000"/>
          <w:sz w:val="22"/>
        </w:rPr>
        <w:t>. The Option may not be exercised to any extent by anyone after the first to occur of the following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Expiration Date set forth in the Grant Notice, which shall in no event be more than ten years from the Grant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expiration of three months from the date of the Participant’s Termination of Service, unless such termination occurs by reason of the Participant’s death or Disability;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expiration of one year from the date of the Participant’s Termination of Service by reason of the Participant’s death or Disability.</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3.4</w:t>
      </w:r>
    </w:p>
    <w:p>
      <w:pPr>
        <w:pStyle w:val="TextBody"/>
        <w:bidi w:val="0"/>
        <w:spacing w:before="0" w:after="240"/>
        <w:jc w:val="both"/>
        <w:rPr/>
      </w:pPr>
      <w:r>
        <w:rPr>
          <w:rFonts w:ascii="Times New Roman" w:hAnsi="Times New Roman"/>
          <w:color w:val="000000"/>
          <w:sz w:val="22"/>
          <w:u w:val="single"/>
        </w:rPr>
        <w:t>Tax Indemnity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The Participant agrees to indemnify and keep indemnified the Company, any Subsidiary and the Participant’s employing company, if different, from and against any liability for or obligation to pay any Tax Liability (a “</w:t>
      </w:r>
      <w:r>
        <w:rPr>
          <w:rFonts w:ascii="Times New Roman" w:hAnsi="Times New Roman"/>
          <w:b/>
          <w:i/>
          <w:color w:val="000000"/>
          <w:sz w:val="22"/>
        </w:rPr>
        <w:t>Tax Liability</w:t>
      </w:r>
      <w:r>
        <w:rPr>
          <w:color w:val="000000"/>
        </w:rPr>
        <w:t xml:space="preserve">” </w:t>
      </w:r>
      <w:r>
        <w:rPr>
          <w:rFonts w:ascii="Times New Roman" w:hAnsi="Times New Roman"/>
          <w:color w:val="000000"/>
          <w:sz w:val="22"/>
        </w:rPr>
        <w:t>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Option cannot be exercised until the Participant has made such arrangements as the Company may require for the satisfaction of any Tax Liability that may arise in connection with the exercise of the Option or the acquisition of the Shares by the Participant. The Company shall not be required to issue, allot or transfer Shares until the Participant has satisfied this obligation.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Participant hereby acknowledges that the Company (i) makes no representations or undertakings regarding the treatment of any Tax Liabilities in connection with any aspect </w:t>
      </w:r>
    </w:p>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EXERCISE OF OPTION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4.1</w:t>
      </w:r>
    </w:p>
    <w:p>
      <w:pPr>
        <w:pStyle w:val="TextBody"/>
        <w:bidi w:val="0"/>
        <w:spacing w:before="0" w:after="240"/>
        <w:jc w:val="both"/>
        <w:rPr/>
      </w:pPr>
      <w:r>
        <w:rPr>
          <w:rFonts w:ascii="Times New Roman" w:hAnsi="Times New Roman"/>
          <w:color w:val="000000"/>
          <w:sz w:val="22"/>
          <w:u w:val="single"/>
        </w:rPr>
        <w:t>Person Eligible to Exercise</w:t>
      </w:r>
      <w:r>
        <w:rPr>
          <w:rFonts w:ascii="Times New Roman" w:hAnsi="Times New Roman"/>
          <w:color w:val="000000"/>
          <w:sz w:val="22"/>
        </w:rPr>
        <w:t>. Except as provided in Section 5.3 hereof, during the lifetime of the Participant, only the Participant may exercise the Option or any portion thereof, unless it has been disposed of pursuant to a DRO. After the death of the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4.2</w:t>
      </w:r>
    </w:p>
    <w:p>
      <w:pPr>
        <w:pStyle w:val="TextBody"/>
        <w:bidi w:val="0"/>
        <w:spacing w:before="0" w:after="240"/>
        <w:jc w:val="both"/>
        <w:rPr/>
      </w:pPr>
      <w:r>
        <w:rPr>
          <w:rFonts w:ascii="Times New Roman" w:hAnsi="Times New Roman"/>
          <w:color w:val="000000"/>
          <w:sz w:val="22"/>
          <w:u w:val="single"/>
        </w:rPr>
        <w:t>Partial Exercise</w:t>
      </w:r>
      <w:r>
        <w:rPr>
          <w:rFonts w:ascii="Times New Roman" w:hAnsi="Times New Roman"/>
          <w:color w:val="000000"/>
          <w:sz w:val="22"/>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4.3</w:t>
      </w:r>
    </w:p>
    <w:p>
      <w:pPr>
        <w:pStyle w:val="TextBody"/>
        <w:bidi w:val="0"/>
        <w:spacing w:before="0" w:after="240"/>
        <w:jc w:val="both"/>
        <w:rPr/>
      </w:pPr>
      <w:r>
        <w:rPr>
          <w:rFonts w:ascii="Times New Roman" w:hAnsi="Times New Roman"/>
          <w:color w:val="000000"/>
          <w:sz w:val="22"/>
          <w:u w:val="single"/>
        </w:rPr>
        <w:t>Manner of Exercise</w:t>
      </w:r>
      <w:r>
        <w:rPr>
          <w:rFonts w:ascii="Times New Roman" w:hAnsi="Times New Roman"/>
          <w:color w:val="000000"/>
          <w:sz w:val="22"/>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other written representations or documents as may be required in the Administrator’s sole discretion to evidence compliance with the Securities Act, the Exchange Act or any other applicable law, rule or regulation;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the Option or portion thereof shall be exercised pursuant to Section 4.1 hereof by any person or persons other than the Participant, appropriate proof of the right of such person or persons to exercise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of the foregoing, the Company shall have the right to specify all conditions of the manner of exercise, which conditions may vary by country and which may be subject to change from time to time.</w:t>
      </w:r>
    </w:p>
    <w:p>
      <w:pPr>
        <w:pStyle w:val="TextBody"/>
        <w:bidi w:val="0"/>
        <w:jc w:val="center"/>
        <w:rPr>
          <w:rFonts w:ascii="Times New Roman" w:hAnsi="Times New Roman"/>
          <w:color w:val="000000"/>
          <w:sz w:val="22"/>
        </w:rPr>
      </w:pPr>
      <w:r>
        <w:rPr>
          <w:rFonts w:ascii="Times New Roman" w:hAnsi="Times New Roman"/>
          <w:color w:val="000000"/>
          <w:sz w:val="22"/>
        </w:rPr>
        <w:t>A-3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4.4</w:t>
      </w:r>
    </w:p>
    <w:p>
      <w:pPr>
        <w:pStyle w:val="TextBody"/>
        <w:bidi w:val="0"/>
        <w:spacing w:before="0" w:after="240"/>
        <w:jc w:val="both"/>
        <w:rPr/>
      </w:pPr>
      <w:r>
        <w:rPr>
          <w:rFonts w:ascii="Times New Roman" w:hAnsi="Times New Roman"/>
          <w:color w:val="000000"/>
          <w:sz w:val="22"/>
          <w:u w:val="single"/>
        </w:rPr>
        <w:t>Method of Payment</w:t>
      </w:r>
      <w:r>
        <w:rPr>
          <w:rFonts w:ascii="Times New Roman" w:hAnsi="Times New Roman"/>
          <w:color w:val="000000"/>
          <w:sz w:val="22"/>
        </w:rPr>
        <w:t>. Payment of the exercise price shall be by any of the following, or a combination thereof, at the election of the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or check;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Other legal consideration acceptable to the Administrator (including, without limitation, through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hAnsi="Times New Roman"/>
          <w:i/>
          <w:color w:val="000000"/>
          <w:sz w:val="22"/>
        </w:rPr>
        <w:t>provided</w:t>
      </w:r>
      <w:r>
        <w:rPr>
          <w:color w:val="000000"/>
        </w:rPr>
        <w:t xml:space="preserve"> </w:t>
      </w:r>
      <w:r>
        <w:rPr>
          <w:rFonts w:ascii="Times New Roman" w:hAnsi="Times New Roman"/>
          <w:color w:val="000000"/>
          <w:sz w:val="22"/>
        </w:rPr>
        <w:t>that payment of such proceeds is then made to the Company at such time as may be required by the Company, but in any event not later than the settlement of such sale).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4.5</w:t>
      </w:r>
    </w:p>
    <w:p>
      <w:pPr>
        <w:pStyle w:val="TextBody"/>
        <w:bidi w:val="0"/>
        <w:spacing w:before="0" w:after="240"/>
        <w:jc w:val="both"/>
        <w:rPr/>
      </w:pPr>
      <w:r>
        <w:rPr>
          <w:rFonts w:ascii="Times New Roman" w:hAnsi="Times New Roman"/>
          <w:color w:val="000000"/>
          <w:sz w:val="22"/>
          <w:u w:val="single"/>
        </w:rPr>
        <w:t>Conditions to Issuance of Shares</w:t>
      </w:r>
      <w:r>
        <w:rPr>
          <w:rFonts w:ascii="Times New Roman" w:hAnsi="Times New Roman"/>
          <w:color w:val="000000"/>
          <w:sz w:val="22"/>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admission of such Shares to listing on all stock exchanges on which such Shares are then listed;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obtaining of any approval or other clearance from any state or federal governmental agency which the Administrator shall, in its absolute discretion, determine to be necessary or advisable;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receipt by the Company of full payment for such Shares, including payment of any applicable withholding tax, which may be in one or more of the forms of consideration permitted under Section 4.4 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lapse of such reasonable period of time following the exercise of the Option as the Administrator may from time to time establish for reasons of administrative convenience.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4.6</w:t>
      </w:r>
    </w:p>
    <w:p>
      <w:pPr>
        <w:pStyle w:val="TextBody"/>
        <w:bidi w:val="0"/>
        <w:spacing w:before="0" w:after="240"/>
        <w:jc w:val="both"/>
        <w:rPr/>
      </w:pPr>
      <w:r>
        <w:rPr>
          <w:rFonts w:ascii="Times New Roman" w:hAnsi="Times New Roman"/>
          <w:color w:val="000000"/>
          <w:sz w:val="22"/>
          <w:u w:val="single"/>
        </w:rPr>
        <w:t>Rights as Stockholder</w:t>
      </w:r>
      <w:r>
        <w:rPr>
          <w:rFonts w:ascii="Times New Roman" w:hAnsi="Times New Roman"/>
          <w:color w:val="000000"/>
          <w:sz w:val="22"/>
        </w:rPr>
        <w:t xml:space="preserve">.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Article IX of the Plan. </w:t>
      </w:r>
    </w:p>
    <w:p>
      <w:pPr>
        <w:pStyle w:val="TextBody"/>
        <w:bidi w:val="0"/>
        <w:jc w:val="center"/>
        <w:rPr>
          <w:rFonts w:ascii="Times New Roman" w:hAnsi="Times New Roman"/>
          <w:color w:val="000000"/>
          <w:sz w:val="22"/>
        </w:rPr>
      </w:pPr>
      <w:r>
        <w:rPr>
          <w:rFonts w:ascii="Times New Roman" w:hAnsi="Times New Roman"/>
          <w:color w:val="000000"/>
          <w:sz w:val="22"/>
        </w:rPr>
        <w:t>A-4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OTHER PROVISIONS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5.2</w:t>
      </w:r>
    </w:p>
    <w:p>
      <w:pPr>
        <w:pStyle w:val="TextBody"/>
        <w:bidi w:val="0"/>
        <w:spacing w:before="0" w:after="240"/>
        <w:jc w:val="both"/>
        <w:rPr/>
      </w:pPr>
      <w:r>
        <w:rPr>
          <w:rFonts w:ascii="Times New Roman" w:hAnsi="Times New Roman"/>
          <w:color w:val="000000"/>
          <w:sz w:val="22"/>
          <w:u w:val="single"/>
        </w:rPr>
        <w:t>Whole Shares</w:t>
      </w:r>
      <w:r>
        <w:rPr>
          <w:rFonts w:ascii="Times New Roman" w:hAnsi="Times New Roman"/>
          <w:color w:val="000000"/>
          <w:sz w:val="22"/>
        </w:rPr>
        <w:t xml:space="preserve">. The Option may only be exercised for whole Shares.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5.3</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Subject to Section 4.1 hereof, the Option may not be sold, pledged, assigned or transferred in any manner other than by will or the laws of descent and distribution</w:t>
      </w:r>
      <w:r>
        <w:rPr>
          <w:color w:val="000000"/>
        </w:rPr>
        <w:t xml:space="preserve"> </w:t>
      </w:r>
      <w:r>
        <w:rPr>
          <w:rFonts w:ascii="Times New Roman" w:hAnsi="Times New Roman"/>
          <w:color w:val="000000"/>
          <w:sz w:val="22"/>
        </w:rPr>
        <w:t>or, subject to the consent of the Administrator, pursuant to a DRO,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the lifetime of the Participant, only the Participant may exercise the Option (or any portion thereof), unless it has been disposed of pursuant to a DRO;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Participant’s will or under the then-applicable laws of descent and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Option shall not be effective without the prior written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pStyle w:val="TextBody"/>
        <w:bidi w:val="0"/>
        <w:jc w:val="center"/>
        <w:rPr>
          <w:rFonts w:ascii="Times New Roman" w:hAnsi="Times New Roman"/>
          <w:color w:val="000000"/>
          <w:sz w:val="22"/>
        </w:rPr>
      </w:pPr>
      <w:r>
        <w:rPr>
          <w:rFonts w:ascii="Times New Roman" w:hAnsi="Times New Roman"/>
          <w:color w:val="000000"/>
          <w:sz w:val="22"/>
        </w:rPr>
        <w:t>A-5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5.4</w:t>
      </w:r>
    </w:p>
    <w:p>
      <w:pPr>
        <w:pStyle w:val="TextBody"/>
        <w:bidi w:val="0"/>
        <w:spacing w:before="0" w:after="240"/>
        <w:jc w:val="both"/>
        <w:rPr/>
      </w:pPr>
      <w:r>
        <w:rPr>
          <w:rFonts w:ascii="Times New Roman" w:hAnsi="Times New Roman"/>
          <w:color w:val="000000"/>
          <w:sz w:val="22"/>
          <w:u w:val="single"/>
        </w:rPr>
        <w:t>Tax Consultation</w:t>
      </w:r>
      <w:r>
        <w:rPr>
          <w:rFonts w:ascii="Times New Roman" w:hAnsi="Times New Roman"/>
          <w:color w:val="000000"/>
          <w:sz w:val="22"/>
        </w:rPr>
        <w:t>. The Participant understands that the Participant may suffer adverse tax consequences as a result of the grant, vesting or exercise of the Option, 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5.5</w:t>
      </w:r>
    </w:p>
    <w:p>
      <w:pPr>
        <w:pStyle w:val="TextBody"/>
        <w:bidi w:val="0"/>
        <w:spacing w:before="0" w:after="240"/>
        <w:jc w:val="both"/>
        <w:rPr/>
      </w:pPr>
      <w:r>
        <w:rPr>
          <w:rFonts w:ascii="Times New Roman" w:hAnsi="Times New Roman"/>
          <w:color w:val="000000"/>
          <w:sz w:val="22"/>
          <w:u w:val="single"/>
        </w:rPr>
        <w:t>Binding Agreement</w:t>
      </w:r>
      <w:r>
        <w:rPr>
          <w:rFonts w:ascii="Times New Roman" w:hAnsi="Times New Roman"/>
          <w:color w:val="000000"/>
          <w:sz w:val="22"/>
        </w:rPr>
        <w:t>. Subject to the limitation on the transferability of the Option contained herein, this Agreement will be binding upon and inure to the benefit of the heirs, legatees, legal representatives, successors and assigns of the parties hereto.</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5.6</w:t>
      </w:r>
    </w:p>
    <w:p>
      <w:pPr>
        <w:pStyle w:val="TextBody"/>
        <w:bidi w:val="0"/>
        <w:spacing w:before="0" w:after="240"/>
        <w:jc w:val="both"/>
        <w:rPr/>
      </w:pPr>
      <w:r>
        <w:rPr>
          <w:rFonts w:ascii="Times New Roman" w:hAnsi="Times New Roman"/>
          <w:color w:val="000000"/>
          <w:sz w:val="22"/>
          <w:u w:val="single"/>
        </w:rPr>
        <w:t>Adjustments Upon Specified Events</w:t>
      </w:r>
      <w:r>
        <w:rPr>
          <w:rFonts w:ascii="Times New Roman" w:hAnsi="Times New Roman"/>
          <w:color w:val="000000"/>
          <w:sz w:val="22"/>
        </w:rPr>
        <w:t>. The Administrator may accelerate the vesting of the Option in such circumstances as it, in its sole discretion, may determine. In addition, upon the occurrence of certain events relating to the Shares contemplated by Article IX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Article IX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5.7</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5.8</w:t>
      </w:r>
    </w:p>
    <w:p>
      <w:pPr>
        <w:pStyle w:val="TextBody"/>
        <w:bidi w:val="0"/>
        <w:spacing w:before="0" w:after="240"/>
        <w:jc w:val="both"/>
        <w:rPr/>
      </w:pP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5.9</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5.10</w:t>
      </w:r>
    </w:p>
    <w:p>
      <w:pPr>
        <w:pStyle w:val="TextBody"/>
        <w:bidi w:val="0"/>
        <w:spacing w:before="0" w:after="240"/>
        <w:jc w:val="both"/>
        <w:rPr/>
      </w:pPr>
      <w:r>
        <w:rPr>
          <w:rFonts w:ascii="Times New Roman" w:hAnsi="Times New Roman"/>
          <w:color w:val="000000"/>
          <w:sz w:val="22"/>
          <w:u w:val="single"/>
        </w:rPr>
        <w:t>Conformity to Securities Laws</w:t>
      </w:r>
      <w:r>
        <w:rPr>
          <w:rFonts w:ascii="Times New Roman" w:hAnsi="Times New Roman"/>
          <w:color w:val="000000"/>
          <w:sz w:val="22"/>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5.11</w:t>
      </w:r>
    </w:p>
    <w:p>
      <w:pPr>
        <w:pStyle w:val="TextBody"/>
        <w:bidi w:val="0"/>
        <w:spacing w:before="0" w:after="240"/>
        <w:jc w:val="both"/>
        <w:rPr/>
      </w:pPr>
      <w:r>
        <w:rPr>
          <w:rFonts w:ascii="Times New Roman" w:hAnsi="Times New Roman"/>
          <w:color w:val="000000"/>
          <w:sz w:val="22"/>
          <w:u w:val="single"/>
        </w:rPr>
        <w:t>Amendment, Suspension and Termination</w:t>
      </w:r>
      <w:r>
        <w:rPr>
          <w:rFonts w:ascii="Times New Roman" w:hAnsi="Times New Roman"/>
          <w:color w:val="000000"/>
          <w:sz w:val="22"/>
        </w:rPr>
        <w:t>. To the extent permitted by the Plan, this Agreement may be wholly or partially amended or otherwise modified, suspended or terminated at any time or from time to time by the Administrator or the Board;</w:t>
      </w:r>
      <w:r>
        <w:rPr>
          <w:color w:val="000000"/>
        </w:rPr>
        <w:t xml:space="preserve">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except as may otherwise be provided by the Plan, no amendment, modification, suspension or termination of this Agreement shall adversely affect the Option in any material way without the prior written consent of the Participant. </w:t>
      </w:r>
    </w:p>
    <w:p>
      <w:pPr>
        <w:pStyle w:val="TextBody"/>
        <w:bidi w:val="0"/>
        <w:jc w:val="center"/>
        <w:rPr>
          <w:rFonts w:ascii="Times New Roman" w:hAnsi="Times New Roman"/>
          <w:color w:val="000000"/>
          <w:sz w:val="22"/>
        </w:rPr>
      </w:pPr>
      <w:r>
        <w:rPr>
          <w:rFonts w:ascii="Times New Roman" w:hAnsi="Times New Roman"/>
          <w:color w:val="000000"/>
          <w:sz w:val="22"/>
        </w:rPr>
        <w:t>A-6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5.12</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5.13</w:t>
      </w:r>
    </w:p>
    <w:p>
      <w:pPr>
        <w:pStyle w:val="TextBody"/>
        <w:bidi w:val="0"/>
        <w:spacing w:before="0" w:after="24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5.14</w:t>
      </w:r>
    </w:p>
    <w:p>
      <w:pPr>
        <w:pStyle w:val="TextBody"/>
        <w:bidi w:val="0"/>
        <w:spacing w:before="0" w:after="240"/>
        <w:jc w:val="both"/>
        <w:rPr/>
      </w:pPr>
      <w:r>
        <w:rPr>
          <w:rFonts w:ascii="Times New Roman" w:hAnsi="Times New Roman"/>
          <w:color w:val="000000"/>
          <w:sz w:val="22"/>
          <w:u w:val="single"/>
        </w:rPr>
        <w:t>Not a Contract of Service Relationship</w:t>
      </w:r>
      <w:r>
        <w:rPr>
          <w:rFonts w:ascii="Times New Roman" w:hAnsi="Times New Roman"/>
          <w:color w:val="000000"/>
          <w:sz w:val="22"/>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5.15</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The Plan, the Grant Notice and this Agreement constitute the entire agreement of the parties and supersede in their entirety all prior undertakings and agreements of the Company and the Participant with respect to the subject matter hereof, provided that the Option shall be subject to any accelerated vesting provisions in any written agreement between the Participant and the Company or a Company plan pursuant to which the Participant participates, in each case, in accordance with the terms therein.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5.16</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hAnsi="Times New Roman"/>
          <w:b/>
          <w:i/>
          <w:color w:val="000000"/>
          <w:sz w:val="22"/>
        </w:rPr>
        <w:t>Section 409A</w:t>
      </w:r>
      <w:r>
        <w:rPr>
          <w:color w:val="000000"/>
        </w:rPr>
        <w:t>”</w:t>
      </w:r>
      <w:r>
        <w:rPr>
          <w:rFonts w:ascii="Times New Roman" w:hAnsi="Times New Roman"/>
          <w:color w:val="000000"/>
          <w:sz w:val="22"/>
        </w:rPr>
        <w:t xml:space="preserve">).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5.17</w:t>
      </w:r>
    </w:p>
    <w:p>
      <w:pPr>
        <w:pStyle w:val="TextBody"/>
        <w:bidi w:val="0"/>
        <w:spacing w:before="0" w:after="240"/>
        <w:jc w:val="both"/>
        <w:rPr/>
      </w:pPr>
      <w:r>
        <w:rPr>
          <w:rFonts w:ascii="Times New Roman" w:hAnsi="Times New Roman"/>
          <w:color w:val="000000"/>
          <w:sz w:val="22"/>
          <w:u w:val="single"/>
        </w:rPr>
        <w:t>Limitation on the Participant’s Rights</w:t>
      </w:r>
      <w:r>
        <w:rPr>
          <w:rFonts w:ascii="Times New Roman" w:hAnsi="Times New Roman"/>
          <w:color w:val="000000"/>
          <w:sz w:val="22"/>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color w:val="000000"/>
          <w:sz w:val="22"/>
        </w:rPr>
      </w:pPr>
      <w:r>
        <w:rPr>
          <w:rFonts w:ascii="Times New Roman" w:hAnsi="Times New Roman"/>
          <w:color w:val="000000"/>
          <w:sz w:val="22"/>
        </w:rPr>
        <w:t>A-7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7" w:name="algs-ex10_1c.htm"/>
      <w:bookmarkStart w:id="38" w:name="ksalgsex10_1c"/>
      <w:bookmarkEnd w:id="37"/>
      <w:bookmarkEnd w:id="38"/>
      <w:r>
        <w:rPr>
          <w:rFonts w:ascii="Times New Roman" w:hAnsi="Times New Roman"/>
          <w:b/>
          <w:color w:val="000000"/>
          <w:sz w:val="22"/>
        </w:rPr>
        <w:t>Exhibit 10.1(c)</w:t>
      </w:r>
      <w:r>
        <w:br w:type="page"/>
      </w:r>
    </w:p>
    <w:p>
      <w:pPr>
        <w:pStyle w:val="TextBody"/>
        <w:bidi w:val="0"/>
        <w:jc w:val="center"/>
        <w:rPr>
          <w:rFonts w:ascii="Times New Roman" w:hAnsi="Times New Roman"/>
          <w:sz w:val="20"/>
        </w:rPr>
      </w:pPr>
      <w:r>
        <w:rPr>
          <w:rFonts w:ascii="Times New Roman" w:hAnsi="Times New Roman"/>
          <w:b/>
          <w:caps/>
          <w:color w:val="000000"/>
          <w:sz w:val="22"/>
        </w:rPr>
        <w:t>Aligos Therapeutics, Inc.</w:t>
        <w:br/>
        <w:t>2024 EMPLOYMENT INDUCEMENT AWARD PLAN</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RESTRICTED STOCK UNIT AWARD GRANT NOTICE</w:t>
      </w:r>
    </w:p>
    <w:p>
      <w:pPr>
        <w:pStyle w:val="TextBody"/>
        <w:bidi w:val="0"/>
        <w:spacing w:before="0" w:after="240"/>
        <w:jc w:val="both"/>
        <w:rPr>
          <w:rFonts w:ascii="Times New Roman" w:hAnsi="Times New Roman"/>
          <w:sz w:val="20"/>
        </w:rPr>
      </w:pPr>
      <w:r>
        <w:rPr>
          <w:rFonts w:ascii="Times New Roman" w:hAnsi="Times New Roman"/>
          <w:color w:val="000000"/>
          <w:sz w:val="22"/>
        </w:rPr>
        <w:t>Aligos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pursuant to its 2024 Employment Inducement Award Plan, as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hereby grants to the holder listed below (the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an award of restricted stock units (“</w:t>
      </w:r>
      <w:r>
        <w:rPr>
          <w:rFonts w:ascii="Times New Roman" w:hAnsi="Times New Roman"/>
          <w:b/>
          <w:i/>
          <w:color w:val="000000"/>
          <w:sz w:val="22"/>
        </w:rPr>
        <w:t>Restricted Stock Units</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b/>
          <w:i/>
          <w:color w:val="000000"/>
          <w:sz w:val="22"/>
        </w:rPr>
        <w:t>RSUs</w:t>
      </w:r>
      <w:r>
        <w:rPr>
          <w:rFonts w:ascii="Times New Roman" w:hAnsi="Times New Roman"/>
          <w:color w:val="000000"/>
          <w:sz w:val="20"/>
        </w:rPr>
        <w:t>”</w:t>
      </w:r>
      <w:r>
        <w:rPr>
          <w:rFonts w:ascii="Times New Roman" w:hAnsi="Times New Roman"/>
          <w:color w:val="000000"/>
          <w:sz w:val="22"/>
        </w:rPr>
        <w:t xml:space="preserve">). Each vested Restricted Stock Unit represents the right to receive, in accordance with the Restricted Stock Unit Award Agreement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one share of Common Stock (“</w:t>
      </w:r>
      <w:r>
        <w:rPr>
          <w:rFonts w:ascii="Times New Roman" w:hAnsi="Times New Roman"/>
          <w:b/>
          <w:i/>
          <w:color w:val="000000"/>
          <w:sz w:val="22"/>
        </w:rPr>
        <w:t>Share</w:t>
      </w:r>
      <w:r>
        <w:rPr>
          <w:rFonts w:ascii="Times New Roman" w:hAnsi="Times New Roman"/>
          <w:color w:val="000000"/>
          <w:sz w:val="20"/>
        </w:rPr>
        <w:t>”</w:t>
      </w:r>
      <w:r>
        <w:rPr>
          <w:rFonts w:ascii="Times New Roman" w:hAnsi="Times New Roman"/>
          <w:color w:val="000000"/>
          <w:sz w:val="22"/>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and the Agreement.</w:t>
      </w:r>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ind w:left="0" w:right="0" w:firstLine="7"/>
              <w:jc w:val="left"/>
              <w:rPr>
                <w:sz w:val="4"/>
                <w:szCs w:val="4"/>
              </w:rPr>
            </w:pPr>
            <w:r>
              <w:rPr>
                <w:sz w:val="4"/>
                <w:szCs w:val="4"/>
              </w:rPr>
            </w:r>
          </w:p>
        </w:tc>
      </w:tr>
      <w:tr>
        <w:trPr/>
        <w:tc>
          <w:tcPr>
            <w:tcW w:w="2100"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Participant:</w:t>
            </w:r>
          </w:p>
        </w:tc>
        <w:tc>
          <w:tcPr>
            <w:tcW w:w="8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[__________________________]</w:t>
            </w:r>
          </w:p>
        </w:tc>
      </w:tr>
      <w:tr>
        <w:trPr/>
        <w:tc>
          <w:tcPr>
            <w:tcW w:w="2100"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Grant Date:</w:t>
            </w:r>
          </w:p>
        </w:tc>
        <w:tc>
          <w:tcPr>
            <w:tcW w:w="8105"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[__________________________]</w:t>
            </w:r>
          </w:p>
        </w:tc>
      </w:tr>
      <w:tr>
        <w:trPr/>
        <w:tc>
          <w:tcPr>
            <w:tcW w:w="2100"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Total Number of RSUs:</w:t>
            </w:r>
          </w:p>
        </w:tc>
        <w:tc>
          <w:tcPr>
            <w:tcW w:w="8105"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 xml:space="preserve">[_____________] </w:t>
            </w:r>
          </w:p>
        </w:tc>
      </w:tr>
      <w:tr>
        <w:trPr/>
        <w:tc>
          <w:tcPr>
            <w:tcW w:w="2100"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Vesting Commencement Date:</w:t>
            </w:r>
          </w:p>
        </w:tc>
        <w:tc>
          <w:tcPr>
            <w:tcW w:w="8105"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[_____________]</w:t>
            </w:r>
          </w:p>
        </w:tc>
      </w:tr>
      <w:tr>
        <w:trPr/>
        <w:tc>
          <w:tcPr>
            <w:tcW w:w="2100"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Vesting Schedule:</w:t>
            </w:r>
          </w:p>
        </w:tc>
        <w:tc>
          <w:tcPr>
            <w:tcW w:w="8105" w:type="dxa"/>
            <w:tcBorders/>
            <w:tcMar>
              <w:top w:w="0" w:type="dxa"/>
              <w:left w:w="0" w:type="dxa"/>
              <w:bottom w:w="0" w:type="dxa"/>
              <w:right w:w="0" w:type="dxa"/>
            </w:tcMar>
            <w:vAlign w:val="center"/>
          </w:tcPr>
          <w:p>
            <w:pPr>
              <w:pStyle w:val="TableContents"/>
              <w:bidi w:val="0"/>
              <w:spacing w:before="120" w:after="283"/>
              <w:ind w:left="0" w:right="0" w:firstLine="7"/>
              <w:jc w:val="left"/>
              <w:rPr>
                <w:rFonts w:ascii="Times New Roman" w:hAnsi="Times New Roman"/>
                <w:color w:val="000000"/>
                <w:sz w:val="22"/>
              </w:rPr>
            </w:pPr>
            <w:r>
              <w:rPr>
                <w:rFonts w:ascii="Times New Roman" w:hAnsi="Times New Roman"/>
                <w:color w:val="000000"/>
                <w:sz w:val="22"/>
              </w:rPr>
              <w:t xml:space="preserve">[_____________] </w:t>
            </w:r>
          </w:p>
        </w:tc>
      </w:tr>
      <w:tr>
        <w:trPr/>
        <w:tc>
          <w:tcPr>
            <w:tcW w:w="2100" w:type="dxa"/>
            <w:tcBorders/>
            <w:tcMar>
              <w:top w:w="0" w:type="dxa"/>
              <w:left w:w="0" w:type="dxa"/>
              <w:bottom w:w="0" w:type="dxa"/>
              <w:right w:w="0" w:type="dxa"/>
            </w:tcMar>
            <w:vAlign w:val="center"/>
          </w:tcPr>
          <w:p>
            <w:pPr>
              <w:pStyle w:val="TableContents"/>
              <w:bidi w:val="0"/>
              <w:spacing w:before="60" w:after="60"/>
              <w:ind w:left="0" w:right="0" w:firstLine="4"/>
              <w:jc w:val="left"/>
              <w:rPr>
                <w:rFonts w:ascii="Times New Roman" w:hAnsi="Times New Roman"/>
                <w:b/>
                <w:color w:val="000000"/>
                <w:sz w:val="22"/>
              </w:rPr>
            </w:pPr>
            <w:r>
              <w:rPr>
                <w:rFonts w:ascii="Times New Roman" w:hAnsi="Times New Roman"/>
                <w:b/>
                <w:color w:val="000000"/>
                <w:sz w:val="22"/>
              </w:rPr>
              <w:t>Termination:</w:t>
            </w:r>
          </w:p>
        </w:tc>
        <w:tc>
          <w:tcPr>
            <w:tcW w:w="8105" w:type="dxa"/>
            <w:tcBorders/>
            <w:tcMar>
              <w:top w:w="0" w:type="dxa"/>
              <w:left w:w="0" w:type="dxa"/>
              <w:bottom w:w="0" w:type="dxa"/>
              <w:right w:w="0" w:type="dxa"/>
            </w:tcMar>
            <w:vAlign w:val="center"/>
          </w:tcPr>
          <w:p>
            <w:pPr>
              <w:pStyle w:val="TableContents"/>
              <w:bidi w:val="0"/>
              <w:spacing w:before="120" w:after="240"/>
              <w:ind w:left="0" w:right="0" w:firstLine="4"/>
              <w:jc w:val="left"/>
              <w:rPr>
                <w:rFonts w:ascii="Times New Roman" w:hAnsi="Times New Roman"/>
                <w:color w:val="000000"/>
                <w:sz w:val="22"/>
              </w:rPr>
            </w:pPr>
            <w:r>
              <w:rPr>
                <w:rFonts w:ascii="Times New Roman" w:hAnsi="Times New Roman"/>
                <w:color w:val="000000"/>
                <w:sz w:val="22"/>
              </w:rPr>
              <w:t xml:space="preserve">If the Participant experiences a Termination of Service, all RSUs that have not become vested on or prior to the date of such Termination of Service will thereupon be automatically forfeited by the Participant without payment of any consideration therefor. </w:t>
            </w:r>
          </w:p>
        </w:tc>
      </w:tr>
    </w:tbl>
    <w:p>
      <w:pPr>
        <w:pStyle w:val="TextBody"/>
        <w:bidi w:val="0"/>
        <w:spacing w:before="120" w:after="240"/>
        <w:jc w:val="both"/>
        <w:rPr>
          <w:rFonts w:ascii="Times New Roman" w:hAnsi="Times New Roman"/>
          <w:color w:val="000000"/>
          <w:sz w:val="22"/>
        </w:rPr>
      </w:pPr>
      <w:r>
        <w:rPr>
          <w:rFonts w:ascii="Times New Roman" w:hAnsi="Times New Roman"/>
          <w:color w:val="000000"/>
          <w:sz w:val="22"/>
        </w:rPr>
        <w:t>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 Section 2.6(b) of the Agreement or the Plan.</w:t>
      </w:r>
    </w:p>
    <w:tbl>
      <w:tblPr>
        <w:tblW w:w="6765" w:type="dxa"/>
        <w:jc w:val="left"/>
        <w:tblInd w:w="0" w:type="dxa"/>
        <w:tblLayout w:type="fixed"/>
        <w:tblCellMar>
          <w:top w:w="28" w:type="dxa"/>
          <w:left w:w="28" w:type="dxa"/>
          <w:bottom w:w="28" w:type="dxa"/>
          <w:right w:w="28" w:type="dxa"/>
        </w:tblCellMar>
      </w:tblPr>
      <w:tblGrid>
        <w:gridCol w:w="4261"/>
        <w:gridCol w:w="704"/>
        <w:gridCol w:w="1476"/>
        <w:gridCol w:w="324"/>
      </w:tblGrid>
      <w:tr>
        <w:trPr/>
        <w:tc>
          <w:tcPr>
            <w:tcW w:w="426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965"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Times New Roman" w:hAnsi="Times New Roman"/>
                <w:b/>
                <w:caps/>
                <w:color w:val="000000"/>
                <w:sz w:val="22"/>
              </w:rPr>
              <w:t>Aligos Therapeutics, Inc.:</w:t>
            </w:r>
            <w:r>
              <w:rPr>
                <w:rFonts w:ascii="Times New Roman" w:hAnsi="Times New Roman"/>
                <w:smallCaps/>
                <w:color w:val="000000"/>
                <w:sz w:val="22"/>
              </w:rPr>
              <w:t> </w:t>
            </w:r>
            <w:r>
              <w:rPr>
                <w:rFonts w:ascii="Times New Roman" w:hAnsi="Times New Roman"/>
                <w:b/>
                <w:smallCaps/>
                <w:color w:val="000000"/>
                <w:sz w:val="22"/>
              </w:rPr>
              <w:t>Participant:</w:t>
            </w:r>
          </w:p>
        </w:tc>
        <w:tc>
          <w:tcPr>
            <w:tcW w:w="18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7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Print Name: </w:t>
            </w:r>
          </w:p>
        </w:tc>
        <w:tc>
          <w:tcPr>
            <w:tcW w:w="7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Print Name: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7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Address: </w:t>
            </w:r>
          </w:p>
        </w:tc>
        <w:tc>
          <w:tcPr>
            <w:tcW w:w="7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Address: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TO RESTRICTED STOCK UNIT AWARD GRANT NOTICE</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RESTRICTED STOCK UNIT AWARD AGREEMENT</w:t>
      </w:r>
    </w:p>
    <w:p>
      <w:pPr>
        <w:pStyle w:val="TextBody"/>
        <w:bidi w:val="0"/>
        <w:spacing w:before="0" w:after="240"/>
        <w:jc w:val="both"/>
        <w:rPr>
          <w:rFonts w:ascii="Times New Roman" w:hAnsi="Times New Roman"/>
          <w:sz w:val="20"/>
        </w:rPr>
      </w:pPr>
      <w:r>
        <w:rPr>
          <w:rFonts w:ascii="Times New Roman" w:hAnsi="Times New Roman"/>
          <w:color w:val="000000"/>
          <w:sz w:val="22"/>
        </w:rPr>
        <w:t>Pursuant to the Restricted Stock Unit Award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to which this Restricted Stock Unit Award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attached, Aligos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granted to the Participant the number of restricted stock units (“</w:t>
      </w:r>
      <w:r>
        <w:rPr>
          <w:rFonts w:ascii="Times New Roman" w:hAnsi="Times New Roman"/>
          <w:b/>
          <w:i/>
          <w:color w:val="000000"/>
          <w:sz w:val="22"/>
        </w:rPr>
        <w:t>Restricted Stock Units</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b/>
          <w:i/>
          <w:color w:val="000000"/>
          <w:sz w:val="22"/>
        </w:rPr>
        <w:t>RSUs</w:t>
      </w:r>
      <w:r>
        <w:rPr>
          <w:rFonts w:ascii="Times New Roman" w:hAnsi="Times New Roman"/>
          <w:color w:val="000000"/>
          <w:sz w:val="20"/>
        </w:rPr>
        <w:t>”</w:t>
      </w:r>
      <w:r>
        <w:rPr>
          <w:rFonts w:ascii="Times New Roman" w:hAnsi="Times New Roman"/>
          <w:color w:val="000000"/>
          <w:sz w:val="22"/>
        </w:rPr>
        <w:t>) set forth in the Grant Notice under the Company’s 2024 Employment Inducement Award Plan, as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Each Restricted Stock Unit represents the right to receive one share of Common Stock (a “</w:t>
      </w:r>
      <w:r>
        <w:rPr>
          <w:rFonts w:ascii="Times New Roman" w:hAnsi="Times New Roman"/>
          <w:b/>
          <w:i/>
          <w:color w:val="000000"/>
          <w:sz w:val="22"/>
        </w:rPr>
        <w:t>Share</w:t>
      </w:r>
      <w:r>
        <w:rPr>
          <w:rFonts w:ascii="Times New Roman" w:hAnsi="Times New Roman"/>
          <w:color w:val="000000"/>
          <w:sz w:val="20"/>
        </w:rPr>
        <w:t>”</w:t>
      </w:r>
      <w:r>
        <w:rPr>
          <w:rFonts w:ascii="Times New Roman" w:hAnsi="Times New Roman"/>
          <w:color w:val="000000"/>
          <w:sz w:val="22"/>
        </w:rPr>
        <w:t>) upon vesting.</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0"/>
        <w:jc w:val="center"/>
        <w:rPr/>
      </w:pPr>
      <w:r>
        <w:rPr>
          <w:rFonts w:ascii="Times New Roman" w:hAnsi="Times New Roman"/>
          <w:b/>
          <w:caps/>
          <w:color w:val="000000"/>
          <w:sz w:val="24"/>
        </w:rPr>
        <w:br/>
      </w:r>
      <w:r>
        <w:rPr>
          <w:rFonts w:ascii="Times New Roman" w:hAnsi="Times New Roman"/>
          <w:b/>
          <w:caps/>
          <w:color w:val="000000"/>
          <w:sz w:val="22"/>
        </w:rPr>
        <w:t>GENERAL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Capitalized terms not specifically defined herein shall have the meanings specified in the Plan and the Grant Notice.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1.2</w:t>
      </w:r>
    </w:p>
    <w:p>
      <w:pPr>
        <w:pStyle w:val="TextBody"/>
        <w:bidi w:val="0"/>
        <w:spacing w:before="0" w:after="240"/>
        <w:jc w:val="both"/>
        <w:rPr/>
      </w:pPr>
      <w:r>
        <w:rPr>
          <w:rFonts w:ascii="Times New Roman" w:hAnsi="Times New Roman"/>
          <w:color w:val="000000"/>
          <w:sz w:val="22"/>
          <w:u w:val="single"/>
        </w:rPr>
        <w:t>Incorporation of Terms of Plan</w:t>
      </w:r>
      <w:r>
        <w:rPr>
          <w:rFonts w:ascii="Times New Roman" w:hAnsi="Times New Roman"/>
          <w:color w:val="000000"/>
          <w:sz w:val="22"/>
        </w:rPr>
        <w:t>. The RSUs are subject to the terms and conditions of the Plan, which are incorporated herein by reference. In the event of any inconsistency between the Plan and this Agreement, the terms of the Plan shall control.</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GRANT OF RESTRICTED STOCK UNITS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spacing w:before="0" w:after="240"/>
        <w:jc w:val="both"/>
        <w:rPr/>
      </w:pPr>
      <w:r>
        <w:rPr>
          <w:rFonts w:ascii="Times New Roman" w:hAnsi="Times New Roman"/>
          <w:color w:val="000000"/>
          <w:sz w:val="22"/>
          <w:u w:val="single"/>
        </w:rPr>
        <w:t>Grant of RSUs</w:t>
      </w:r>
      <w:r>
        <w:rPr>
          <w:rFonts w:ascii="Times New Roman" w:hAnsi="Times New Roman"/>
          <w:color w:val="000000"/>
          <w:sz w:val="22"/>
        </w:rPr>
        <w:t xml:space="preserve">.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commencement of employment and as an inducement to enter into employment with the Company or any Subsidiary and for other good and valuable consideration.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0" w:after="240"/>
        <w:jc w:val="both"/>
        <w:rPr/>
      </w:pPr>
      <w:r>
        <w:rPr>
          <w:rFonts w:ascii="Times New Roman" w:hAnsi="Times New Roman"/>
          <w:color w:val="000000"/>
          <w:sz w:val="22"/>
          <w:u w:val="single"/>
        </w:rPr>
        <w:t>Unsecured Obligation to RSUs</w:t>
      </w:r>
      <w:r>
        <w:rPr>
          <w:rFonts w:ascii="Times New Roman" w:hAnsi="Times New Roman"/>
          <w:color w:val="000000"/>
          <w:sz w:val="22"/>
        </w:rPr>
        <w:t xml:space="preserve">. Unless and until the RSUs have vested in the manner set forth in Article 2 hereof, the Participant will have no right to receive Common Stock under any such RSUs. Prior to actual payment of any vested RSUs, such RSUs will represent an unsecured obligation of the Company, payable (if at all) only from the general assets of the Company.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w:t>
      </w:r>
    </w:p>
    <w:p>
      <w:pPr>
        <w:pStyle w:val="TextBody"/>
        <w:bidi w:val="0"/>
        <w:spacing w:before="0" w:after="240"/>
        <w:jc w:val="both"/>
        <w:rPr/>
      </w:pPr>
      <w:r>
        <w:rPr>
          <w:rFonts w:ascii="Times New Roman" w:hAnsi="Times New Roman"/>
          <w:color w:val="000000"/>
          <w:sz w:val="22"/>
          <w:u w:val="single"/>
        </w:rPr>
        <w:t>Vesting Schedule</w:t>
      </w:r>
      <w:r>
        <w:rPr>
          <w:rFonts w:ascii="Times New Roman" w:hAnsi="Times New Roman"/>
          <w:color w:val="000000"/>
          <w:sz w:val="22"/>
        </w:rPr>
        <w:t xml:space="preserve">. Subject to Section 2.5 hereof, the RSUs shall vest and become nonforfeitable with respect to the applicable portion thereof according to the vesting schedule set forth in the Grant Notice (rounding down to the nearest whole Share).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w:t>
      </w:r>
    </w:p>
    <w:p>
      <w:pPr>
        <w:pStyle w:val="TextBody"/>
        <w:bidi w:val="0"/>
        <w:spacing w:before="0" w:after="240"/>
        <w:jc w:val="both"/>
        <w:rPr/>
      </w:pPr>
      <w:r>
        <w:rPr>
          <w:rFonts w:ascii="Times New Roman" w:hAnsi="Times New Roman"/>
          <w:color w:val="000000"/>
          <w:sz w:val="22"/>
          <w:u w:val="single"/>
        </w:rPr>
        <w:t>Consideration to the Company</w:t>
      </w:r>
      <w:r>
        <w:rPr>
          <w:rFonts w:ascii="Times New Roman" w:hAnsi="Times New Roman"/>
          <w:color w:val="000000"/>
          <w:sz w:val="22"/>
        </w:rPr>
        <w:t xml:space="preserve">. In consideration of the grant of the award of RSUs pursuant hereto, the Participant agrees to render faithful and efficient services to the Company or any Subsidiary.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2.5</w:t>
      </w:r>
    </w:p>
    <w:p>
      <w:pPr>
        <w:pStyle w:val="TextBody"/>
        <w:bidi w:val="0"/>
        <w:spacing w:before="0" w:after="240"/>
        <w:jc w:val="both"/>
        <w:rPr/>
      </w:pPr>
      <w:r>
        <w:rPr>
          <w:rFonts w:ascii="Times New Roman" w:hAnsi="Times New Roman"/>
          <w:color w:val="000000"/>
          <w:sz w:val="22"/>
          <w:u w:val="single"/>
        </w:rPr>
        <w:t>Forfeiture, Termination and Cancellation upon Termination of Service</w:t>
      </w:r>
      <w:r>
        <w:rPr>
          <w:rFonts w:ascii="Times New Roman" w:hAnsi="Times New Roman"/>
          <w:color w:val="000000"/>
          <w:sz w:val="22"/>
        </w:rPr>
        <w:t xml:space="preserve">. Notwithstanding any contrary provision of this Agreement or the Plan, upon the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w:t>
      </w:r>
    </w:p>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hereunder. No portion of the RSUs which has not become vested as of the date on which the Participant incurs a Termination of Service shall thereafter become vested, except as may otherwise be provided by the Administrator or as set forth in a written agreement between the Company and the Participant.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2.6</w:t>
      </w:r>
    </w:p>
    <w:p>
      <w:pPr>
        <w:pStyle w:val="TextBody"/>
        <w:bidi w:val="0"/>
        <w:spacing w:before="0" w:after="240"/>
        <w:jc w:val="both"/>
        <w:rPr/>
      </w:pPr>
      <w:r>
        <w:rPr>
          <w:rFonts w:ascii="Times New Roman" w:hAnsi="Times New Roman"/>
          <w:color w:val="000000"/>
          <w:sz w:val="22"/>
          <w:u w:val="single"/>
        </w:rPr>
        <w:t>Issuance of Common Stock upon Vesting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10.7 of the Plan, the Shares shall be issued pursuant to the preceding sentence as soon as administratively practicable after the Administrator determines that Shares can again be issued in accordance with such Section.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set forth in Section 10.5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2.7</w:t>
      </w:r>
    </w:p>
    <w:p>
      <w:pPr>
        <w:pStyle w:val="TextBody"/>
        <w:bidi w:val="0"/>
        <w:spacing w:before="0" w:after="240"/>
        <w:jc w:val="both"/>
        <w:rPr/>
      </w:pPr>
      <w:r>
        <w:rPr>
          <w:rFonts w:ascii="Times New Roman" w:hAnsi="Times New Roman"/>
          <w:color w:val="000000"/>
          <w:sz w:val="22"/>
          <w:u w:val="single"/>
        </w:rPr>
        <w:t>Conditions to Delivery of Shares</w:t>
      </w:r>
      <w:r>
        <w:rPr>
          <w:rFonts w:ascii="Times New Roman" w:hAnsi="Times New Roman"/>
          <w:color w:val="000000"/>
          <w:sz w:val="22"/>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2.8</w:t>
      </w:r>
    </w:p>
    <w:p>
      <w:pPr>
        <w:pStyle w:val="TextBody"/>
        <w:bidi w:val="0"/>
        <w:spacing w:before="0" w:after="240"/>
        <w:jc w:val="both"/>
        <w:rPr/>
      </w:pPr>
      <w:r>
        <w:rPr>
          <w:rFonts w:ascii="Times New Roman" w:hAnsi="Times New Roman"/>
          <w:color w:val="000000"/>
          <w:sz w:val="22"/>
          <w:u w:val="single"/>
        </w:rPr>
        <w:t>Rights as Stockholder</w:t>
      </w:r>
      <w:r>
        <w:rPr>
          <w:rFonts w:ascii="Times New Roman" w:hAnsi="Times New Roman"/>
          <w:color w:val="000000"/>
          <w:sz w:val="22"/>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OTHER PROVISIONS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 </w:t>
      </w:r>
    </w:p>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3.2</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The RSUs shall be subject to the restrictions on transferability set forth in Section 10.1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3.3</w:t>
      </w:r>
    </w:p>
    <w:p>
      <w:pPr>
        <w:pStyle w:val="TextBody"/>
        <w:bidi w:val="0"/>
        <w:spacing w:before="0" w:after="240"/>
        <w:jc w:val="both"/>
        <w:rPr/>
      </w:pPr>
      <w:r>
        <w:rPr>
          <w:rFonts w:ascii="Times New Roman" w:hAnsi="Times New Roman"/>
          <w:color w:val="000000"/>
          <w:sz w:val="22"/>
          <w:u w:val="single"/>
        </w:rPr>
        <w:t>Tax Consultation</w:t>
      </w:r>
      <w:r>
        <w:rPr>
          <w:rFonts w:ascii="Times New Roman" w:hAnsi="Times New Roman"/>
          <w:color w:val="000000"/>
          <w:sz w:val="22"/>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3.4</w:t>
      </w:r>
    </w:p>
    <w:p>
      <w:pPr>
        <w:pStyle w:val="TextBody"/>
        <w:bidi w:val="0"/>
        <w:spacing w:before="0" w:after="240"/>
        <w:jc w:val="both"/>
        <w:rPr/>
      </w:pPr>
      <w:r>
        <w:rPr>
          <w:rFonts w:ascii="Times New Roman" w:hAnsi="Times New Roman"/>
          <w:color w:val="000000"/>
          <w:sz w:val="22"/>
          <w:u w:val="single"/>
        </w:rPr>
        <w:t>Binding Agreement</w:t>
      </w:r>
      <w:r>
        <w:rPr>
          <w:rFonts w:ascii="Times New Roman" w:hAnsi="Times New Roman"/>
          <w:color w:val="000000"/>
          <w:sz w:val="22"/>
        </w:rPr>
        <w:t>. Subject to the limitation on the transferability of the RSUs contained herein, this Agreement will be binding upon and inure to the benefit of the heirs, legatees, legal representatives, successors and assigns of the parties hereto.</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3.5</w:t>
      </w:r>
    </w:p>
    <w:p>
      <w:pPr>
        <w:pStyle w:val="TextBody"/>
        <w:bidi w:val="0"/>
        <w:spacing w:before="0" w:after="240"/>
        <w:jc w:val="both"/>
        <w:rPr/>
      </w:pPr>
      <w:r>
        <w:rPr>
          <w:rFonts w:ascii="Times New Roman" w:hAnsi="Times New Roman"/>
          <w:color w:val="000000"/>
          <w:sz w:val="22"/>
          <w:u w:val="single"/>
        </w:rPr>
        <w:t>Adjustments Upon Specified Events</w:t>
      </w:r>
      <w:r>
        <w:rPr>
          <w:rFonts w:ascii="Times New Roman" w:hAnsi="Times New Roman"/>
          <w:color w:val="000000"/>
          <w:sz w:val="22"/>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Article IX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3.6</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3.7</w:t>
      </w:r>
    </w:p>
    <w:p>
      <w:pPr>
        <w:pStyle w:val="TextBody"/>
        <w:bidi w:val="0"/>
        <w:spacing w:before="0" w:after="240"/>
        <w:jc w:val="both"/>
        <w:rPr/>
      </w:pPr>
      <w:r>
        <w:rPr>
          <w:rFonts w:ascii="Times New Roman" w:hAnsi="Times New Roman"/>
          <w:color w:val="000000"/>
          <w:sz w:val="22"/>
          <w:u w:val="single"/>
        </w:rPr>
        <w:t>Participant’s Representations</w:t>
      </w:r>
      <w:r>
        <w:rPr>
          <w:rFonts w:ascii="Times New Roman" w:hAnsi="Times New Roman"/>
          <w:color w:val="000000"/>
          <w:sz w:val="22"/>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3.8</w:t>
      </w:r>
    </w:p>
    <w:p>
      <w:pPr>
        <w:pStyle w:val="TextBody"/>
        <w:bidi w:val="0"/>
        <w:spacing w:before="0" w:after="240"/>
        <w:jc w:val="both"/>
        <w:rPr/>
      </w:pP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3.9</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3.10</w:t>
      </w:r>
    </w:p>
    <w:p>
      <w:pPr>
        <w:pStyle w:val="TextBody"/>
        <w:bidi w:val="0"/>
        <w:spacing w:before="0" w:after="240"/>
        <w:jc w:val="both"/>
        <w:rPr/>
      </w:pPr>
      <w:r>
        <w:rPr>
          <w:rFonts w:ascii="Times New Roman" w:hAnsi="Times New Roman"/>
          <w:color w:val="000000"/>
          <w:sz w:val="22"/>
          <w:u w:val="single"/>
        </w:rPr>
        <w:t>Conformity to Securities Laws</w:t>
      </w:r>
      <w:r>
        <w:rPr>
          <w:rFonts w:ascii="Times New Roman" w:hAnsi="Times New Roman"/>
          <w:color w:val="000000"/>
          <w:sz w:val="22"/>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3.11</w:t>
      </w:r>
    </w:p>
    <w:p>
      <w:pPr>
        <w:pStyle w:val="TextBody"/>
        <w:bidi w:val="0"/>
        <w:spacing w:before="0" w:after="240"/>
        <w:jc w:val="both"/>
        <w:rPr/>
      </w:pPr>
      <w:r>
        <w:rPr>
          <w:rFonts w:ascii="Times New Roman" w:hAnsi="Times New Roman"/>
          <w:color w:val="000000"/>
          <w:sz w:val="22"/>
          <w:u w:val="single"/>
        </w:rPr>
        <w:t>Amendment, Suspension and Termination</w:t>
      </w:r>
      <w:r>
        <w:rPr>
          <w:rFonts w:ascii="Times New Roman" w:hAnsi="Times New Roman"/>
          <w:color w:val="000000"/>
          <w:sz w:val="22"/>
        </w:rPr>
        <w:t xml:space="preserve">. To the extent permitted by the Plan, this Agreement may be wholly or partially amended or otherwise modified, suspended or terminated at any time or from time to time by the Administrator or the Board;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except as may otherwise be provided by the Plan, no amendment, modification, suspension or termination of this Agreement shall adversely affect the RSUs in any material way without the prior written consent of the Participant. </w:t>
      </w:r>
    </w:p>
    <w:p>
      <w:pPr>
        <w:pStyle w:val="TextBody"/>
        <w:bidi w:val="0"/>
        <w:jc w:val="center"/>
        <w:rPr>
          <w:rFonts w:ascii="Times New Roman" w:hAnsi="Times New Roman"/>
          <w:color w:val="000000"/>
          <w:sz w:val="22"/>
        </w:rPr>
      </w:pPr>
      <w:r>
        <w:rPr>
          <w:rFonts w:ascii="Times New Roman" w:hAnsi="Times New Roman"/>
          <w:color w:val="000000"/>
          <w:sz w:val="22"/>
        </w:rPr>
        <w:t>A-3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3.12</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3.13</w:t>
      </w:r>
    </w:p>
    <w:p>
      <w:pPr>
        <w:pStyle w:val="TextBody"/>
        <w:bidi w:val="0"/>
        <w:spacing w:before="0" w:after="24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3.14</w:t>
      </w:r>
    </w:p>
    <w:p>
      <w:pPr>
        <w:pStyle w:val="TextBody"/>
        <w:bidi w:val="0"/>
        <w:spacing w:before="0" w:after="240"/>
        <w:jc w:val="both"/>
        <w:rPr/>
      </w:pPr>
      <w:r>
        <w:rPr>
          <w:rFonts w:ascii="Times New Roman" w:hAnsi="Times New Roman"/>
          <w:color w:val="000000"/>
          <w:sz w:val="22"/>
          <w:u w:val="single"/>
        </w:rPr>
        <w:t>Not a Contract of Service Relationship</w:t>
      </w:r>
      <w:r>
        <w:rPr>
          <w:rFonts w:ascii="Times New Roman" w:hAnsi="Times New Roman"/>
          <w:color w:val="000000"/>
          <w:sz w:val="22"/>
        </w:rPr>
        <w:t>. Nothing in this Agreement or in the Plan shall confer upon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 at any time.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3.15</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xml:space="preserve">.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RSUs shall be subject to any accelerated vesting provisions in any written agreement between the Participant and the Company or a Company plan pursuant to which the Participant participates, in each case, in accordance with the terms therein.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3.16</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hAnsi="Times New Roman"/>
          <w:b/>
          <w:i/>
          <w:color w:val="000000"/>
          <w:sz w:val="22"/>
        </w:rPr>
        <w:t>Section 409A</w:t>
      </w:r>
      <w:r>
        <w:rPr>
          <w:color w:val="000000"/>
        </w:rPr>
        <w:t>”</w:t>
      </w:r>
      <w:r>
        <w:rPr>
          <w:rFonts w:ascii="Times New Roman" w:hAnsi="Times New Roman"/>
          <w:color w:val="000000"/>
          <w:sz w:val="22"/>
        </w:rPr>
        <w:t xml:space="preserve">).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3.17</w:t>
      </w:r>
    </w:p>
    <w:p>
      <w:pPr>
        <w:pStyle w:val="TextBody"/>
        <w:bidi w:val="0"/>
        <w:spacing w:before="0" w:after="240"/>
        <w:jc w:val="both"/>
        <w:rPr/>
      </w:pPr>
      <w:r>
        <w:rPr>
          <w:rFonts w:ascii="Times New Roman" w:hAnsi="Times New Roman"/>
          <w:color w:val="000000"/>
          <w:sz w:val="22"/>
          <w:u w:val="single"/>
        </w:rPr>
        <w:t>Limitation on Participant’s Rights</w:t>
      </w:r>
      <w:r>
        <w:rPr>
          <w:rFonts w:ascii="Times New Roman" w:hAnsi="Times New Roman"/>
          <w:color w:val="000000"/>
          <w:sz w:val="22"/>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Common Stock as a general unsecured creditor with respect to RSUs, as and when payable hereunder.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color w:val="000000"/>
          <w:sz w:val="22"/>
        </w:rPr>
      </w:pPr>
      <w:r>
        <w:rPr>
          <w:rFonts w:ascii="Times New Roman" w:hAnsi="Times New Roman"/>
          <w:color w:val="000000"/>
          <w:sz w:val="22"/>
        </w:rPr>
        <w:t>A-4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algs-ex31_1.htm"/>
      <w:bookmarkStart w:id="40" w:name="ksalgsex31_1"/>
      <w:bookmarkEnd w:id="39"/>
      <w:bookmarkEnd w:id="4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Lawrence Blatt,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952" w:type="dxa"/>
        <w:jc w:val="left"/>
        <w:tblInd w:w="0" w:type="dxa"/>
        <w:tblLayout w:type="fixed"/>
        <w:tblCellMar>
          <w:top w:w="28" w:type="dxa"/>
          <w:left w:w="28" w:type="dxa"/>
          <w:bottom w:w="28" w:type="dxa"/>
          <w:right w:w="28" w:type="dxa"/>
        </w:tblCellMar>
      </w:tblPr>
      <w:tblGrid>
        <w:gridCol w:w="2101"/>
        <w:gridCol w:w="109"/>
        <w:gridCol w:w="406"/>
        <w:gridCol w:w="43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algs-ex31_2.htm"/>
      <w:bookmarkStart w:id="42" w:name="ksalgsex31_2"/>
      <w:bookmarkEnd w:id="41"/>
      <w:bookmarkEnd w:id="4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Lesley Ann Calhoun,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2101"/>
        <w:gridCol w:w="109"/>
        <w:gridCol w:w="406"/>
        <w:gridCol w:w="214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algs-ex32_1.htm"/>
      <w:bookmarkStart w:id="44" w:name="ksalgsex32_1"/>
      <w:bookmarkEnd w:id="43"/>
      <w:bookmarkEnd w:id="4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September 30, 2024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6952" w:type="dxa"/>
        <w:jc w:val="left"/>
        <w:tblInd w:w="0" w:type="dxa"/>
        <w:tblLayout w:type="fixed"/>
        <w:tblCellMar>
          <w:top w:w="28" w:type="dxa"/>
          <w:left w:w="28" w:type="dxa"/>
          <w:bottom w:w="28" w:type="dxa"/>
          <w:right w:w="28" w:type="dxa"/>
        </w:tblCellMar>
      </w:tblPr>
      <w:tblGrid>
        <w:gridCol w:w="2101"/>
        <w:gridCol w:w="109"/>
        <w:gridCol w:w="406"/>
        <w:gridCol w:w="43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algs-ex32_2.htm"/>
      <w:bookmarkStart w:id="46" w:name="ksalgsex32_2"/>
      <w:bookmarkEnd w:id="45"/>
      <w:bookmarkEnd w:id="4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September 30, 2024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2101"/>
        <w:gridCol w:w="109"/>
        <w:gridCol w:w="406"/>
        <w:gridCol w:w="214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4172218/d129014dex31.htm" TargetMode="External"/><Relationship Id="rId5" Type="http://schemas.openxmlformats.org/officeDocument/2006/relationships/hyperlink" Target="https://www.sec.gov/Archives/edgar/data/1799448/000119312524202813/d882619dex31.htm" TargetMode="External"/><Relationship Id="rId6" Type="http://schemas.openxmlformats.org/officeDocument/2006/relationships/hyperlink" Target="https://www.sec.gov/Archives/edgar/data/1799448/000119312520272852/d46540dex32.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72852/d46540dex31.htm" TargetMode="External"/><Relationship Id="rId9" Type="http://schemas.openxmlformats.org/officeDocument/2006/relationships/hyperlink" Target="https://www.sec.gov/ix?doc=/Archives/edgar/data/0001799448/000119312524172218/d129014d8k.htm" TargetMode="External"/><Relationship Id="rId10" Type="http://schemas.openxmlformats.org/officeDocument/2006/relationships/hyperlink" Target="https://www.sec.gov/Archives/edgar/data/1799448/000119312520272852/d46540dex32.htm" TargetMode="External"/><Relationship Id="rId11" Type="http://schemas.openxmlformats.org/officeDocument/2006/relationships/hyperlink" Target="https://www.sec.gov/Archives/edgar/data/1799448/000119312523263158/d533607dex42.htm" TargetMode="External"/><Relationship Id="rId12" Type="http://schemas.openxmlformats.org/officeDocument/2006/relationships/hyperlink" Target="https://www.sec.gov/Archives/edgar/data/1799448/000119312523263158/d533607dex41.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88194</Words>
  <Characters>483947</Characters>
  <CharactersWithSpaces>573368</CharactersWithSpaces>
  <Paragraphs>7642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