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lgs-20260331.htm"/>
      <w:bookmarkStart w:id="1" w:name="ksalgs20260331"/>
      <w:bookmarkEnd w:id="0"/>
      <w:bookmarkEnd w:id="1"/>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Number: 001-39617</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7"/>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97" w:type="dxa"/>
        <w:jc w:val="left"/>
        <w:tblInd w:w="0" w:type="dxa"/>
        <w:tblLayout w:type="fixed"/>
        <w:tblCellMar>
          <w:top w:w="28" w:type="dxa"/>
          <w:left w:w="28" w:type="dxa"/>
          <w:bottom w:w="28" w:type="dxa"/>
          <w:right w:w="28" w:type="dxa"/>
        </w:tblCellMar>
      </w:tblPr>
      <w:tblGrid>
        <w:gridCol w:w="2851"/>
        <w:gridCol w:w="1246"/>
      </w:tblGrid>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82-4724808</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Corporate Drive, 2nd 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(800) 466-6059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230" w:type="dxa"/>
        <w:jc w:val="left"/>
        <w:tblInd w:w="0" w:type="dxa"/>
        <w:tblLayout w:type="fixed"/>
        <w:tblCellMar>
          <w:top w:w="28" w:type="dxa"/>
          <w:left w:w="28" w:type="dxa"/>
          <w:bottom w:w="28" w:type="dxa"/>
          <w:right w:w="28" w:type="dxa"/>
        </w:tblCellMar>
      </w:tblPr>
      <w:tblGrid>
        <w:gridCol w:w="3916"/>
        <w:gridCol w:w="146"/>
        <w:gridCol w:w="1231"/>
        <w:gridCol w:w="146"/>
        <w:gridCol w:w="2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w:t>
            </w:r>
            <w:r>
              <w:rPr>
                <w:rFonts w:ascii="Times New Roman" w:hAnsi="Times New Roman"/>
                <w:color w:val="000000"/>
                <w:sz w:val="14"/>
              </w:rPr>
              <w:t xml:space="preserve"> </w:t>
            </w: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ALGS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The Nasdaq Stock Market LLC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sz w:val="20"/>
        </w:rPr>
      </w:pPr>
      <w:r>
        <w:rPr>
          <w:rFonts w:ascii="Times New Roman" w:hAnsi="Times New Roman"/>
          <w:color w:val="000000"/>
          <w:sz w:val="18"/>
        </w:rPr>
        <w:t>A</w:t>
      </w:r>
      <w:r>
        <w:rPr>
          <w:rFonts w:ascii="Times New Roman" w:hAnsi="Times New Roman"/>
          <w:color w:val="000000"/>
          <w:sz w:val="19"/>
        </w:rPr>
        <w:t>s of May 1, 2026, the registrant had 6,188,223</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 consisting of 5,388,223</w:t>
      </w:r>
      <w:r>
        <w:rPr>
          <w:rFonts w:ascii="Times New Roman" w:hAnsi="Times New Roman"/>
          <w:color w:val="000000"/>
          <w:sz w:val="20"/>
        </w:rPr>
        <w:t xml:space="preserve"> </w:t>
      </w:r>
      <w:r>
        <w:rPr>
          <w:rFonts w:ascii="Times New Roman" w:hAnsi="Times New Roman"/>
          <w:color w:val="000000"/>
          <w:sz w:val="19"/>
        </w:rPr>
        <w:t>shares of voting common stock, $0.0001 par value per share and 800,000</w:t>
      </w:r>
      <w:r>
        <w:rPr>
          <w:rFonts w:ascii="Times New Roman" w:hAnsi="Times New Roman"/>
          <w:color w:val="000000"/>
          <w:sz w:val="20"/>
        </w:rPr>
        <w:t xml:space="preserve"> </w:t>
      </w:r>
      <w:r>
        <w:rPr>
          <w:rFonts w:ascii="Times New Roman" w:hAnsi="Times New Roman"/>
          <w:color w:val="000000"/>
          <w:sz w:val="19"/>
        </w:rPr>
        <w:t>shares of non-voting common stock, $0.0001 par value per share. This number does not include 4,217,432 shares of common stock issuable upon the exercise of pre-funded warrants outstanding as of May 1, 2026 (which are immediately exercisable at an exercise price of $0.0025 and $0.0001 per share of common stock, , subject to beneficial ownership limitations) sold in the Registrant’s private placement on October 23, 2023 and February 13, 2025. See Note 6 — Common Warrants and Pre-Funded Warrants to the Registrant’s unaudited condensed consolidated financial statements.</w:t>
      </w:r>
      <w:r>
        <w:rPr>
          <w:rFonts w:ascii="Times New Roman" w:hAnsi="Times New Roman"/>
          <w:color w:val="000000"/>
          <w:sz w:val="20"/>
        </w:rPr>
        <w:t xml:space="preserve">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our drug candidates or any other future drug candidates, including conducting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related to the research and development of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recurring losses from operations and negative cash flows have raised substantial doubt regarding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costs involved in, obtaining and maintaining regulatory approval for any of our current or future drug candidates, and any related restrictions or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market size and size of the potential patient populations for our drug candidates and any future drug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collaborations, licensing or other arrangements and the financial terms of any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drug candidates, as well as the pricing and reimbursement of our drug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drug candidates and technology, including additional indications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including the projected term of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future revenue, capital requirements, our needs for additional financing, our ability to obtain additional capital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 including competing therapies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legal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third-party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management’s current expectations, estimates, forecasts and projections about our business and the industry in which we operate as well as management's beliefs and assumptions. These statements are not guarantees of future performance or development and involve known and unknown risks, uncertainties and other factors that are in some cases beyond our control.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risks and uncertainties affecting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generated revenue from product sales and may never be profitable for a full fiscal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and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88" w:type="dxa"/>
        <w:jc w:val="left"/>
        <w:tblInd w:w="0" w:type="dxa"/>
        <w:tblLayout w:type="fixed"/>
        <w:tblCellMar>
          <w:top w:w="28" w:type="dxa"/>
          <w:left w:w="28" w:type="dxa"/>
          <w:bottom w:w="28" w:type="dxa"/>
          <w:right w:w="28" w:type="dxa"/>
        </w:tblCellMar>
      </w:tblPr>
      <w:tblGrid>
        <w:gridCol w:w="1126"/>
        <w:gridCol w:w="7606"/>
        <w:gridCol w:w="556"/>
      </w:tblGrid>
      <w:tr>
        <w:trPr/>
        <w:tc>
          <w:tcPr>
            <w:tcW w:w="112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color w:val="0000FF"/>
                  <w:sz w:val="20"/>
                  <w:u w:val="single"/>
                </w:rPr>
                <w:t>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(Deficit)</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
              <w:r>
                <w:rPr>
                  <w:rStyle w:val="InternetLink"/>
                  <w:rFonts w:ascii="Times New Roman" w:hAnsi="Times New Roman"/>
                  <w:color w:val="0000FF"/>
                  <w:sz w:val="20"/>
                  <w:u w:val="single"/>
                </w:rPr>
                <w:t>Condensed Consolidated Statements of Cash Flows</w:t>
              </w:r>
            </w:hyperlink>
            <w:hyperlink w:anchor="condensed_consolidated_statements">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m2">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79</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79</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79</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79</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40"/>
        <w:gridCol w:w="146"/>
        <w:gridCol w:w="211"/>
        <w:gridCol w:w="841"/>
        <w:gridCol w:w="166"/>
        <w:gridCol w:w="146"/>
        <w:gridCol w:w="213"/>
        <w:gridCol w:w="849"/>
        <w:gridCol w:w="593"/>
      </w:tblGrid>
      <w:tr>
        <w:trPr/>
        <w:tc>
          <w:tcPr>
            <w:tcW w:w="7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21,233</w:t>
            </w:r>
          </w:p>
        </w:tc>
        <w:tc>
          <w:tcPr>
            <w:tcW w:w="5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Common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March 31, 2026 and December 31, 2025, respectively; no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115,800,000 shares and 115,800,000 shares authorized as of March 31, 2026 and December 31, 2025, respectively; 6,188,186 and 6,178,230 shares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695,269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(642,201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pPr>
      <w:r>
        <w:rPr/>
        <w:t> </w:t>
      </w:r>
    </w:p>
    <w:tbl>
      <w:tblPr>
        <w:tblW w:w="7704" w:type="dxa"/>
        <w:jc w:val="left"/>
        <w:tblInd w:w="0" w:type="dxa"/>
        <w:tblLayout w:type="fixed"/>
        <w:tblCellMar>
          <w:top w:w="28" w:type="dxa"/>
          <w:left w:w="28" w:type="dxa"/>
          <w:bottom w:w="28" w:type="dxa"/>
          <w:right w:w="28" w:type="dxa"/>
        </w:tblCellMar>
      </w:tblPr>
      <w:tblGrid>
        <w:gridCol w:w="4246"/>
        <w:gridCol w:w="146"/>
        <w:gridCol w:w="211"/>
        <w:gridCol w:w="1036"/>
        <w:gridCol w:w="166"/>
        <w:gridCol w:w="146"/>
        <w:gridCol w:w="211"/>
        <w:gridCol w:w="931"/>
        <w:gridCol w:w="6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income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8,408,481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8,709,693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459"/>
        <w:gridCol w:w="146"/>
        <w:gridCol w:w="146"/>
        <w:gridCol w:w="826"/>
        <w:gridCol w:w="146"/>
        <w:gridCol w:w="146"/>
        <w:gridCol w:w="345"/>
        <w:gridCol w:w="346"/>
        <w:gridCol w:w="146"/>
        <w:gridCol w:w="146"/>
        <w:gridCol w:w="196"/>
        <w:gridCol w:w="691"/>
        <w:gridCol w:w="146"/>
        <w:gridCol w:w="146"/>
        <w:gridCol w:w="217"/>
        <w:gridCol w:w="834"/>
        <w:gridCol w:w="166"/>
        <w:gridCol w:w="146"/>
        <w:gridCol w:w="416"/>
        <w:gridCol w:w="800"/>
        <w:gridCol w:w="166"/>
        <w:gridCol w:w="146"/>
        <w:gridCol w:w="243"/>
        <w:gridCol w:w="827"/>
        <w:gridCol w:w="213"/>
      </w:tblGrid>
      <w:tr>
        <w:trPr/>
        <w:tc>
          <w:tcPr>
            <w:tcW w:w="2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6,178,230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6,188,186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CHANGES IN STOCKHOLDERS’ EQUITY (DEFICIT)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4"/>
        <w:gridCol w:w="146"/>
        <w:gridCol w:w="146"/>
        <w:gridCol w:w="146"/>
        <w:gridCol w:w="826"/>
        <w:gridCol w:w="146"/>
        <w:gridCol w:w="146"/>
        <w:gridCol w:w="345"/>
        <w:gridCol w:w="346"/>
        <w:gridCol w:w="146"/>
        <w:gridCol w:w="146"/>
        <w:gridCol w:w="196"/>
        <w:gridCol w:w="691"/>
        <w:gridCol w:w="166"/>
        <w:gridCol w:w="146"/>
        <w:gridCol w:w="217"/>
        <w:gridCol w:w="834"/>
        <w:gridCol w:w="166"/>
        <w:gridCol w:w="146"/>
        <w:gridCol w:w="416"/>
        <w:gridCol w:w="800"/>
        <w:gridCol w:w="166"/>
        <w:gridCol w:w="146"/>
        <w:gridCol w:w="239"/>
        <w:gridCol w:w="850"/>
        <w:gridCol w:w="213"/>
      </w:tblGrid>
      <w:tr>
        <w:trPr/>
        <w:tc>
          <w:tcPr>
            <w:tcW w:w="2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3,864,436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net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w:t>
              <w:br/>
              <w:t>   RSU vesting and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pre-funded warrants </w:t>
              <w:br/>
              <w:t xml:space="preserve">   and common warrants in connection with 2025 </w:t>
              <w:br/>
              <w:t>   PIPE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2025 PIPE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3"/>
        <w:gridCol w:w="146"/>
        <w:gridCol w:w="218"/>
        <w:gridCol w:w="763"/>
        <w:gridCol w:w="172"/>
        <w:gridCol w:w="151"/>
        <w:gridCol w:w="218"/>
        <w:gridCol w:w="810"/>
        <w:gridCol w:w="814"/>
      </w:tblGrid>
      <w:tr>
        <w:trPr/>
        <w:tc>
          <w:tcPr>
            <w:tcW w:w="6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 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including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issuance of common stock, common warrants and pre-funded warrants in connection with PIPE offering, net of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and cash equivalents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101,742</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basis of presentation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Aligos is a clinical-stage biotechnology company developing novel therapeutics to address unmet medical needs in liver and viral diseases, including for chronic hepatitis B virus (HBV) infection, obesity, metabolic dysfunction associated steatohepatitis (MASH), and coronaviruses.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U.S. generally accepted accounting principles (U.S. GAAP) and follow the requirements of the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a fair statement of the Company’s consolidated financial information. The condensed consolidated financial statements include the accounts of the Company and its wholly owned subsidiaries. All intercompany balances and transactions have been eliminated in consolidation. Interim-period results are not necessarily indicative of results of operations or cash flows for a full year or any subsequent interim period. The balance sheet as of December 31, 2025 is derived from the audited consolidated financial statements at that date but does not include all of the information required by U.S. GAAP for complete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In accordance with Accounting Standards Codification 205-40, </w:t>
      </w:r>
      <w:r>
        <w:rPr>
          <w:rFonts w:ascii="Times New Roman" w:hAnsi="Times New Roman"/>
          <w:i/>
          <w:color w:val="000000"/>
          <w:sz w:val="20"/>
        </w:rPr>
        <w:t>Presentation of Financial Statements - Going Concern</w:t>
      </w:r>
      <w:r>
        <w:rPr>
          <w:rFonts w:ascii="Times New Roman" w:hAnsi="Times New Roman"/>
          <w:color w:val="000000"/>
          <w:sz w:val="20"/>
        </w:rPr>
        <w:t xml:space="preserve">, the Company evaluated whether there are conditions and events, considered in the aggregate, that raise substantial doubt about its ability to continue as a going concern within one year of the date that the condensed financial statements are issued.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March 31, 2026, the Company had cash, cash equivalents and short-term investments of $54.9 million and an accumulated deficit of $665.2 million. The Company has incurred recurring losses from operations and negative cash flows from operating activities. The Company expects that its cash, cash equivalents and short-term investments will be sufficient to fund current planned operations into the fourth quarter of 2026, inclusive of the $25M upfront expected from Amoytop, which is less than one year from the date of filing this Quarterly Report on Form 10-Q. See footnote 14, Subsequent Events, for further details. The Company plans to raise substantial additional capital to continue as a going concern, including through a combination of public or private equity offerings, third-party funding, collaborations, strategic alliances, and licensing arrangements. In addition, the Company is evaluating future financing opportunities, and intends to secure additional funding.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However, there can be no assurance that any additional financing will be available to the Company on acceptable terms, if at all. If events or circumstances occur such that the Company does not obtain additional funding, it may be necessary to significantly reduce its scope of operations to reduce the current rate of spending, which could include reductions in staff and the need to delay, limit, reduce or terminate current or future product development, which could have a material adverse effect on the Company’s business, results of operations and financial condition. Moreover, even if financing efforts are successful and additional capital is obtained, available liquidity may still be insufficient to eliminate the aforementioned substantial doubt regarding the Company’s ability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accompanying condensed financial statements have been prepared assuming the Company will continue to operate as a going concern, which contemplates the realization of assets and the settlement of liabilities in the normal course of business. The condensed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pStyle w:val="TextBody"/>
        <w:bidi w:val="0"/>
        <w:jc w:val="left"/>
        <w:rPr>
          <w:rFonts w:ascii="Times New Roman" w:hAnsi="Times New Roman"/>
          <w:color w:val="000000"/>
          <w:sz w:val="20"/>
        </w:rPr>
      </w:pPr>
      <w:r>
        <w:rPr>
          <w:rFonts w:ascii="Times New Roman" w:hAnsi="Times New Roman"/>
          <w:color w:val="000000"/>
          <w:sz w:val="20"/>
        </w:rPr>
        <w:t xml:space="preserve">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financial information should be read in conjunction with the audited consolidated financial statements and the related notes thereto included in the Company’s Annual Report on Form 10-K for the year ended December 31, 2025 filed with the SEC on March 5, 2026 (the 2025 Form 10-K).</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it believes to be reasonable under the circumstances. These estimates form the basis for making judgments about the carrying values of assets and liabilities when these values are not readily apparent from other sources. Accounting estimates and judgments are inherently uncertain, and actual results could differ from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material changes were made to the Company’s significant accounting policies disclosed in Note 2. Summary of significant accounting policies, in its 2025 Form 10-K.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FASB that the Company adopts as of the specified effective date. Our status as an EGC ended on the last day of the fiscal year ending after the fifth anniversary of our initial public offering, i.e.,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recent accounting pronouncements issued, but not yet effective, and does not expect any to have a material effect on the Company’s condensed consolidated financial statements other than those discussed in its 2025 Form 10</w:t>
        <w:noBreakHyphen/>
        <w:t>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components of property and equipment as of March 31, 2026 and December 31, 2025 were as follows (in thousands): </w:t>
      </w:r>
    </w:p>
    <w:tbl>
      <w:tblPr>
        <w:tblW w:w="5552" w:type="dxa"/>
        <w:jc w:val="left"/>
        <w:tblInd w:w="0" w:type="dxa"/>
        <w:tblLayout w:type="fixed"/>
        <w:tblCellMar>
          <w:top w:w="28" w:type="dxa"/>
          <w:left w:w="28" w:type="dxa"/>
          <w:bottom w:w="28" w:type="dxa"/>
          <w:right w:w="28" w:type="dxa"/>
        </w:tblCellMar>
      </w:tblPr>
      <w:tblGrid>
        <w:gridCol w:w="2641"/>
        <w:gridCol w:w="146"/>
        <w:gridCol w:w="211"/>
        <w:gridCol w:w="736"/>
        <w:gridCol w:w="166"/>
        <w:gridCol w:w="146"/>
        <w:gridCol w:w="244"/>
        <w:gridCol w:w="851"/>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$0.3 million for the three months ended March 31, 2026 and $0.2 million for the three months ended March 31, 2025. Finance leases are also included in property and equipment as vehicles and lab equipment on the Condensed Consolidated Balance Sheets.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tbl>
      <w:tblPr>
        <w:tblW w:w="5247" w:type="dxa"/>
        <w:jc w:val="left"/>
        <w:tblInd w:w="0" w:type="dxa"/>
        <w:tblLayout w:type="fixed"/>
        <w:tblCellMar>
          <w:top w:w="28" w:type="dxa"/>
          <w:left w:w="28" w:type="dxa"/>
          <w:bottom w:w="28" w:type="dxa"/>
          <w:right w:w="28" w:type="dxa"/>
        </w:tblCellMar>
      </w:tblPr>
      <w:tblGrid>
        <w:gridCol w:w="2236"/>
        <w:gridCol w:w="146"/>
        <w:gridCol w:w="211"/>
        <w:gridCol w:w="676"/>
        <w:gridCol w:w="146"/>
        <w:gridCol w:w="146"/>
        <w:gridCol w:w="260"/>
        <w:gridCol w:w="835"/>
        <w:gridCol w:w="5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Investments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March 31, 2026 and December 31, 2025, amortized cost, gross unrealized gains and losses, and estimated fair values of total fixed-maturity securities were as follows (in thousands): </w:t>
      </w:r>
    </w:p>
    <w:tbl>
      <w:tblPr>
        <w:tblW w:w="8046" w:type="dxa"/>
        <w:jc w:val="left"/>
        <w:tblInd w:w="0" w:type="dxa"/>
        <w:tblLayout w:type="fixed"/>
        <w:tblCellMar>
          <w:top w:w="28" w:type="dxa"/>
          <w:left w:w="28" w:type="dxa"/>
          <w:bottom w:w="28" w:type="dxa"/>
          <w:right w:w="28" w:type="dxa"/>
        </w:tblCellMar>
      </w:tblPr>
      <w:tblGrid>
        <w:gridCol w:w="2446"/>
        <w:gridCol w:w="721"/>
        <w:gridCol w:w="146"/>
        <w:gridCol w:w="211"/>
        <w:gridCol w:w="676"/>
        <w:gridCol w:w="146"/>
        <w:gridCol w:w="146"/>
        <w:gridCol w:w="495"/>
        <w:gridCol w:w="391"/>
        <w:gridCol w:w="146"/>
        <w:gridCol w:w="146"/>
        <w:gridCol w:w="318"/>
        <w:gridCol w:w="568"/>
        <w:gridCol w:w="16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bonds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26" w:type="dxa"/>
        <w:jc w:val="left"/>
        <w:tblInd w:w="0" w:type="dxa"/>
        <w:tblLayout w:type="fixed"/>
        <w:tblCellMar>
          <w:top w:w="28" w:type="dxa"/>
          <w:left w:w="28" w:type="dxa"/>
          <w:bottom w:w="28" w:type="dxa"/>
          <w:right w:w="28" w:type="dxa"/>
        </w:tblCellMar>
      </w:tblPr>
      <w:tblGrid>
        <w:gridCol w:w="2446"/>
        <w:gridCol w:w="721"/>
        <w:gridCol w:w="146"/>
        <w:gridCol w:w="211"/>
        <w:gridCol w:w="676"/>
        <w:gridCol w:w="146"/>
        <w:gridCol w:w="146"/>
        <w:gridCol w:w="354"/>
        <w:gridCol w:w="532"/>
        <w:gridCol w:w="146"/>
        <w:gridCol w:w="146"/>
        <w:gridCol w:w="495"/>
        <w:gridCol w:w="391"/>
        <w:gridCol w:w="14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bonds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 of our short-term investments are in an unrealized loss position. Changes in fair value are related to changes in market interest rates. The Company expects to collect all contractual principal and interest payments and does not intend to sell the investments before recovery of their amortized cost bases. As of March 31, 2026, all investments had a remaining maturity of less than one year.</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interest income of $0.1 million for the three months ended March 31, 2026, and $0.8 million for the three months ended March 31, 2025. There was no accrued interest receivable as of March 31, 2026 and December 31, 2025.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Capital stock</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2025, the Company's stockholders approved an amendment to the Company's Amended and Restated Certificate of Incorporation to increase the number of authorized shares of voting common stock from 20,000,000 shares to 100,000,000 shares and to increase the number of authorized shares of non-voting common stock from 800,000 shares to 15,800,000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shares of voting common stock are entitled to one vote for each share of common stock at all meetings of stockholders.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Common Warrants and Pre-Funded Warrants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PIPE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closed its private investment in public equity (PIPE) offering (the 2025 Private Placement) and entered into a securities purchase agreement with certain investors (the 2025 Securities Purchase Agreement) that resulted in gross proceeds of $105.0 million. In the 2025 Private Placement, the Company issued (i) 2,103,307 shares of the Company’s common stock (the Common Stock), par value $0.0001 per share, consisting of 1,427,000 shares of voting common stock and 676,307 shares of non-voting common stock, (ii) pre</w:t>
        <w:noBreakHyphen/>
        <w:t xml:space="preserve">funded warrants (the 2025 Pre-Funded Warrants) to purchase up to 1,922,511 shares of voting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$101.4 million, after deducting the placement agent fees and expenses and offering costs.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the 2025 Common Warrants and 2025 Pre-Funded Warrants in Stockholders' Equity on the Condensed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Accounting Standards Codification (ASC) 815, </w:t>
      </w:r>
      <w:r>
        <w:rPr>
          <w:rFonts w:ascii="Times New Roman" w:hAnsi="Times New Roman"/>
          <w:i/>
          <w:color w:val="000000"/>
          <w:sz w:val="20"/>
        </w:rPr>
        <w:t>Derivatives and Hedging,</w:t>
      </w:r>
      <w:r>
        <w:rPr>
          <w:rFonts w:ascii="Times New Roman" w:hAnsi="Times New Roman"/>
          <w:color w:val="000000"/>
          <w:sz w:val="20"/>
        </w:rPr>
        <w:t xml:space="preserve"> based on the terms in the 2025 Securities Purchase Agreement.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PIPE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$0.0025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2023 and 2025 Pre-Funded Warrants outstanding at December 31, 2025 and March 31, 2026: </w:t>
      </w:r>
    </w:p>
    <w:tbl>
      <w:tblPr>
        <w:tblW w:w="6815" w:type="dxa"/>
        <w:jc w:val="left"/>
        <w:tblInd w:w="0" w:type="dxa"/>
        <w:tblLayout w:type="fixed"/>
        <w:tblCellMar>
          <w:top w:w="28" w:type="dxa"/>
          <w:left w:w="28" w:type="dxa"/>
          <w:bottom w:w="28" w:type="dxa"/>
          <w:right w:w="28" w:type="dxa"/>
        </w:tblCellMar>
      </w:tblPr>
      <w:tblGrid>
        <w:gridCol w:w="3406"/>
        <w:gridCol w:w="146"/>
        <w:gridCol w:w="170"/>
        <w:gridCol w:w="1090"/>
        <w:gridCol w:w="146"/>
        <w:gridCol w:w="146"/>
        <w:gridCol w:w="203"/>
        <w:gridCol w:w="1297"/>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Pre-funded warrant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tbl>
      <w:tblPr>
        <w:tblW w:w="5684" w:type="dxa"/>
        <w:jc w:val="left"/>
        <w:tblInd w:w="0" w:type="dxa"/>
        <w:tblLayout w:type="fixed"/>
        <w:tblCellMar>
          <w:top w:w="28" w:type="dxa"/>
          <w:left w:w="28" w:type="dxa"/>
          <w:bottom w:w="28" w:type="dxa"/>
          <w:right w:w="28" w:type="dxa"/>
        </w:tblCellMar>
      </w:tblPr>
      <w:tblGrid>
        <w:gridCol w:w="2401"/>
        <w:gridCol w:w="299"/>
        <w:gridCol w:w="961"/>
        <w:gridCol w:w="166"/>
        <w:gridCol w:w="146"/>
        <w:gridCol w:w="334"/>
        <w:gridCol w:w="1166"/>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liability</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issued</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exercised</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liability</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fair value of the 2023 Common Warrants was measured using the Black Scholes option pricing model and will be remeasured each reporting period, and the change in fair value will be recorded in earnings. The fair value of the 2023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Warrants is inherently sensitive to changes in the Company's stock price and related volatility assumptions. The assumptions that the Company used to determine the fair value at the reporting date were as follows: </w:t>
      </w:r>
    </w:p>
    <w:tbl>
      <w:tblPr>
        <w:tblW w:w="5725" w:type="dxa"/>
        <w:jc w:val="left"/>
        <w:tblInd w:w="0" w:type="dxa"/>
        <w:tblLayout w:type="fixed"/>
        <w:tblCellMar>
          <w:top w:w="28" w:type="dxa"/>
          <w:left w:w="28" w:type="dxa"/>
          <w:bottom w:w="28" w:type="dxa"/>
          <w:right w:w="28" w:type="dxa"/>
        </w:tblCellMar>
      </w:tblPr>
      <w:tblGrid>
        <w:gridCol w:w="2086"/>
        <w:gridCol w:w="146"/>
        <w:gridCol w:w="256"/>
        <w:gridCol w:w="1004"/>
        <w:gridCol w:w="271"/>
        <w:gridCol w:w="146"/>
        <w:gridCol w:w="305"/>
        <w:gridCol w:w="119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2023 and 2025 Common Warrants outstanding at March 31, 2026: </w:t>
      </w:r>
    </w:p>
    <w:tbl>
      <w:tblPr>
        <w:tblW w:w="6795" w:type="dxa"/>
        <w:jc w:val="left"/>
        <w:tblInd w:w="0" w:type="dxa"/>
        <w:tblLayout w:type="fixed"/>
        <w:tblCellMar>
          <w:top w:w="28" w:type="dxa"/>
          <w:left w:w="28" w:type="dxa"/>
          <w:bottom w:w="28" w:type="dxa"/>
          <w:right w:w="28" w:type="dxa"/>
        </w:tblCellMar>
      </w:tblPr>
      <w:tblGrid>
        <w:gridCol w:w="3406"/>
        <w:gridCol w:w="146"/>
        <w:gridCol w:w="170"/>
        <w:gridCol w:w="1090"/>
        <w:gridCol w:w="146"/>
        <w:gridCol w:w="146"/>
        <w:gridCol w:w="203"/>
        <w:gridCol w:w="1297"/>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warrant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Equity Incentive Awards and 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during the three months ended March 31, 2026 is as follows: </w:t>
      </w:r>
    </w:p>
    <w:p>
      <w:pPr>
        <w:pStyle w:val="TextBody"/>
        <w:bidi w:val="0"/>
        <w:jc w:val="left"/>
        <w:rPr/>
      </w:pPr>
      <w:r>
        <w:rPr/>
        <w:t> </w:t>
      </w:r>
    </w:p>
    <w:tbl>
      <w:tblPr>
        <w:tblW w:w="10097" w:type="dxa"/>
        <w:jc w:val="left"/>
        <w:tblInd w:w="0" w:type="dxa"/>
        <w:tblLayout w:type="fixed"/>
        <w:tblCellMar>
          <w:top w:w="28" w:type="dxa"/>
          <w:left w:w="28" w:type="dxa"/>
          <w:bottom w:w="28" w:type="dxa"/>
          <w:right w:w="28" w:type="dxa"/>
        </w:tblCellMar>
      </w:tblPr>
      <w:tblGrid>
        <w:gridCol w:w="4801"/>
        <w:gridCol w:w="146"/>
        <w:gridCol w:w="146"/>
        <w:gridCol w:w="931"/>
        <w:gridCol w:w="166"/>
        <w:gridCol w:w="146"/>
        <w:gridCol w:w="230"/>
        <w:gridCol w:w="626"/>
        <w:gridCol w:w="146"/>
        <w:gridCol w:w="146"/>
        <w:gridCol w:w="239"/>
        <w:gridCol w:w="766"/>
        <w:gridCol w:w="146"/>
        <w:gridCol w:w="146"/>
        <w:gridCol w:w="374"/>
        <w:gridCol w:w="751"/>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Restricted stock unit activity during the three months ended March 31, 2026 is as follows: </w:t>
      </w:r>
    </w:p>
    <w:tbl>
      <w:tblPr>
        <w:tblW w:w="7682" w:type="dxa"/>
        <w:jc w:val="left"/>
        <w:tblInd w:w="0" w:type="dxa"/>
        <w:tblLayout w:type="fixed"/>
        <w:tblCellMar>
          <w:top w:w="28" w:type="dxa"/>
          <w:left w:w="28" w:type="dxa"/>
          <w:bottom w:w="28" w:type="dxa"/>
          <w:right w:w="28" w:type="dxa"/>
        </w:tblCellMar>
      </w:tblPr>
      <w:tblGrid>
        <w:gridCol w:w="3796"/>
        <w:gridCol w:w="146"/>
        <w:gridCol w:w="152"/>
        <w:gridCol w:w="703"/>
        <w:gridCol w:w="166"/>
        <w:gridCol w:w="146"/>
        <w:gridCol w:w="254"/>
        <w:gridCol w:w="691"/>
        <w:gridCol w:w="146"/>
        <w:gridCol w:w="146"/>
        <w:gridCol w:w="342"/>
        <w:gridCol w:w="783"/>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for the three months ended March 31, 2026 and 2025 (in thousands): </w:t>
      </w:r>
    </w:p>
    <w:tbl>
      <w:tblPr>
        <w:tblW w:w="4900"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421"/>
        <w:gridCol w:w="146"/>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with Amoytop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and Amoytop Biotech Co., Ltd (Amoytop) entered into a Research Collaboration and Development Agreement (the Amoytop Agreement) with a focus on nucleic acid technology for HBV treatment, with the Company granting to Amoytop an exclusive, time-limited option to enter into an exclusive, territory-limited license to develop and commercialize such compounds. Under the terms of the agreement, the Company received an upfront payment of $7.0 million, less withholding taxes of $1.1 million from Amoytop. With respect to the agreement, the Company is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and Amoytop entered into an extension to the Amoytop Agreement, covering work performed through January 2025. Under the terms of the agreement, the Company received an upfront payment of $1.5 million, which was recognized from the second quarter of 2024 through the first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and Amoytop entered into an additional extension to the Amoytop Agreement, covering work performed through approximately November 2025. Under the terms of the agreement, the Company received an upfront payment of $1.0 million, which was recognized from the second quarter of 2025 through the fourth quarter of 2025.</w:t>
      </w:r>
    </w:p>
    <w:p>
      <w:pPr>
        <w:pStyle w:val="TextBody"/>
        <w:bidi w:val="0"/>
        <w:spacing w:before="120" w:after="283"/>
        <w:jc w:val="left"/>
        <w:rPr>
          <w:rFonts w:ascii="Times New Roman" w:hAnsi="Times New Roman"/>
          <w:sz w:val="20"/>
        </w:rPr>
      </w:pPr>
      <w:r>
        <w:rPr>
          <w:rFonts w:ascii="Times New Roman" w:hAnsi="Times New Roman"/>
          <w:color w:val="000000"/>
          <w:sz w:val="20"/>
        </w:rPr>
        <w:t>In September 2025, Amoytop exercised its option to obtain an exclusive, territory-limited license to one compound developed under the Amoytop Agreement, with the right to choose an alternative compound among three identified candidates following the completion of certain IND-enabling studies. IND-enabling studies began on its chosen compound in January 2026, which earned the Company a milestone payment of $3.0 million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Amoytop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the Company recognized no revenue from customers related to upfront payments. During the three months ended March 31, 2025, the Company recognized $0.3 million, in revenue from customers related to upfront payments. During the three months ended March 31, 2026, the Company recognized $2.8 million in revenue from customers related to a milestone payment of $3.0 million less withholding taxes. During the three months ended March 31, 2025, the Company recognized no revenue from customers related to milestone payments.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with ADCT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 This agreement expired in November 2025. </w:t>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 xml:space="preserve">In-licensing agreements </w:t>
      </w:r>
    </w:p>
    <w:p>
      <w:pPr>
        <w:pStyle w:val="TextBody"/>
        <w:bidi w:val="0"/>
        <w:jc w:val="left"/>
        <w:rPr>
          <w:rFonts w:ascii="Times New Roman" w:hAnsi="Times New Roman"/>
          <w:sz w:val="20"/>
        </w:rPr>
      </w:pPr>
      <w:r>
        <w:rPr>
          <w:rFonts w:ascii="Times New Roman" w:hAnsi="Times New Roman"/>
          <w:b/>
          <w:i/>
          <w:color w:val="000000"/>
          <w:sz w:val="20"/>
        </w:rPr>
        <w:t>Agreement with Emory University (Emory)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for certain licensed compounds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agreed to pay Emory up to an aggregate of $125.0 million upon the achievement of specified development, regulatory, and commercial milestones, and all ongoing patent costs. During the three months ended March 31, 2026 and 2025, no milestone payments were made.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made no payments associated with royalties and recognized no expense or accruals.</w:t>
      </w:r>
    </w:p>
    <w:p>
      <w:pPr>
        <w:pStyle w:val="TextBody"/>
        <w:bidi w:val="0"/>
        <w:spacing w:before="240" w:after="283"/>
        <w:jc w:val="left"/>
        <w:rPr>
          <w:rFonts w:ascii="Times New Roman" w:hAnsi="Times New Roman"/>
          <w:sz w:val="20"/>
        </w:rPr>
      </w:pPr>
      <w:r>
        <w:rPr>
          <w:rFonts w:ascii="Times New Roman" w:hAnsi="Times New Roman"/>
          <w:b/>
          <w:i/>
          <w:color w:val="000000"/>
          <w:sz w:val="20"/>
        </w:rPr>
        <w:t>Agreement with Katholieke Universiteit Leuven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the collaboration period terminated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of the last valid patent claim covering the manufacture, use, sale or importation of the licensed product in a particular country or 10 years after the first commercial sale of a licensed product. During the three months ended March 31, 2026, the Company made no payments of royalties or milestones. </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March 31, 2026 and December 31, 2025. The Company enters into contracts in the normal course of business that includes arrangements with clinical research organizations, vendors for preclinical research and vendors for manufacturing. These agreements generally allow for cancellation with notice. As of March 31, 2026, the Company had no material non-cancellable purchase commitments.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provision of $0.3 million for the three months ended March 31, 2026, primarily related to the Company's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history of losses in prior fiscal years and projects losses for the full year 2026. The Company continues to maintain a full valuation allowance on its net deferred tax assets.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Net (loss) income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income per share of the Company (in thousands, except share and per share data): </w:t>
      </w:r>
    </w:p>
    <w:p>
      <w:pPr>
        <w:pStyle w:val="TextBody"/>
        <w:bidi w:val="0"/>
        <w:spacing w:before="120" w:after="283"/>
        <w:jc w:val="left"/>
        <w:rPr/>
      </w:pPr>
      <w:r>
        <w:rPr/>
        <w:t> </w:t>
      </w:r>
    </w:p>
    <w:tbl>
      <w:tblPr>
        <w:tblW w:w="8568" w:type="dxa"/>
        <w:jc w:val="left"/>
        <w:tblInd w:w="0" w:type="dxa"/>
        <w:tblLayout w:type="fixed"/>
        <w:tblCellMar>
          <w:top w:w="28" w:type="dxa"/>
          <w:left w:w="28" w:type="dxa"/>
          <w:bottom w:w="28" w:type="dxa"/>
          <w:right w:w="28" w:type="dxa"/>
        </w:tblCellMar>
      </w:tblPr>
      <w:tblGrid>
        <w:gridCol w:w="5911"/>
        <w:gridCol w:w="196"/>
        <w:gridCol w:w="916"/>
        <w:gridCol w:w="166"/>
        <w:gridCol w:w="146"/>
        <w:gridCol w:w="196"/>
        <w:gridCol w:w="826"/>
        <w:gridCol w:w="211"/>
      </w:tblGrid>
      <w:tr>
        <w:trPr/>
        <w:tc>
          <w:tcPr>
            <w:tcW w:w="5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as reported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Change in fair value of the 2023 Common Warrants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net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10,402,967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8,408,481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Weighted average shares issuable upon exercise of 2023 Common Warrants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diluted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10,402,967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8,709,693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basic</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potentially dilutive securities includes options to purchase common stock, unvested restricted stock and warrants to purchase common stock. For the three months ended March 31, 2025, the 2023 common warrants were dilutive and included in the total weighted average shares outstanding, diluted. For the three months ended March 31, 2026, all potentially dilutive securities have been excluded from the computation of diluted net loss per share as the effect would be to reduce the net loss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Therefore, for the three months ended March 31, 2026, the weighted-average number of shares outstanding used to calculate both basic and diluted net loss per share is the same.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bidi w:val="0"/>
        <w:spacing w:before="120" w:after="283"/>
        <w:jc w:val="left"/>
        <w:rPr/>
      </w:pPr>
      <w:r>
        <w:rPr/>
        <w:t> </w:t>
      </w:r>
    </w:p>
    <w:tbl>
      <w:tblPr>
        <w:tblW w:w="5803" w:type="dxa"/>
        <w:jc w:val="left"/>
        <w:tblInd w:w="0" w:type="dxa"/>
        <w:tblLayout w:type="fixed"/>
        <w:tblCellMar>
          <w:top w:w="28" w:type="dxa"/>
          <w:left w:w="28" w:type="dxa"/>
          <w:bottom w:w="28" w:type="dxa"/>
          <w:right w:w="28" w:type="dxa"/>
        </w:tblCellMar>
      </w:tblPr>
      <w:tblGrid>
        <w:gridCol w:w="3376"/>
        <w:gridCol w:w="146"/>
        <w:gridCol w:w="826"/>
        <w:gridCol w:w="146"/>
        <w:gridCol w:w="146"/>
        <w:gridCol w:w="146"/>
        <w:gridCol w:w="826"/>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warrants to purchase common stock</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2,012,909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6,403,222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3,040,540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13. Segment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chief operating decision maker (CODM), who is defined as the Company's Chairman, President and Chief Executive Officer, assesses performance for the Company’s single reportable segment and decides how to allocate resources based on the Company’s total operating expenses as reported on the Consolidated Statements of Operations and Comprehensive (Loss) Income.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loss as reported on the Consolidated Statements of Operations and Comprehensive (Loss) Income, shown in the table below. The significant expense categories are consistent with those presented on the face of the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 The measure of segment assets is reported on the Condensed Consolidated Balance Sheets as total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segment revenues, significant segment expenses and reported segment net loss for the three months ended March 31, 2026 and 2025 (in thousands):</w:t>
      </w:r>
    </w:p>
    <w:tbl>
      <w:tblPr>
        <w:tblW w:w="7617" w:type="dxa"/>
        <w:jc w:val="left"/>
        <w:tblInd w:w="0" w:type="dxa"/>
        <w:tblLayout w:type="fixed"/>
        <w:tblCellMar>
          <w:top w:w="28" w:type="dxa"/>
          <w:left w:w="28" w:type="dxa"/>
          <w:bottom w:w="28" w:type="dxa"/>
          <w:right w:w="28" w:type="dxa"/>
        </w:tblCellMar>
      </w:tblPr>
      <w:tblGrid>
        <w:gridCol w:w="4306"/>
        <w:gridCol w:w="446"/>
        <w:gridCol w:w="225"/>
        <w:gridCol w:w="786"/>
        <w:gridCol w:w="177"/>
        <w:gridCol w:w="155"/>
        <w:gridCol w:w="225"/>
        <w:gridCol w:w="786"/>
        <w:gridCol w:w="511"/>
      </w:tblGrid>
      <w:tr>
        <w:trPr/>
        <w:tc>
          <w:tcPr>
            <w:tcW w:w="43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customers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Early-stage research and development</w:t>
            </w:r>
            <w:r>
              <w:rPr>
                <w:rFonts w:ascii="Times New Roman" w:hAnsi="Times New Roman"/>
                <w:color w:val="000000"/>
                <w:sz w:val="13"/>
              </w:rPr>
              <w:t>(1)</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Late-stage research and development</w:t>
            </w:r>
            <w:r>
              <w:rPr>
                <w:rFonts w:ascii="Times New Roman" w:hAnsi="Times New Roman"/>
                <w:color w:val="000000"/>
                <w:sz w:val="13"/>
              </w:rPr>
              <w:t>(2)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&amp; Administrative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and other income,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income before income tax</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provision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and consolidated net (loss)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Early-stage research and development includes costs incurred from Discovery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(2) Late-stage research and development includes costs incurred from Phase 1 and Phase 2 clinical trial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 primarily generates revenue through its license and collaboration agreements (see Notes 8 and 9). </w:t>
      </w:r>
    </w:p>
    <w:p>
      <w:pPr>
        <w:pStyle w:val="TextBody"/>
        <w:bidi w:val="0"/>
        <w:spacing w:before="240" w:after="283"/>
        <w:jc w:val="left"/>
        <w:rPr>
          <w:rFonts w:ascii="Times New Roman" w:hAnsi="Times New Roman"/>
          <w:sz w:val="20"/>
        </w:rPr>
      </w:pPr>
      <w:r>
        <w:rPr>
          <w:rFonts w:ascii="Times New Roman" w:hAnsi="Times New Roman"/>
          <w:b/>
          <w:color w:val="000000"/>
          <w:sz w:val="20"/>
        </w:rPr>
        <w:t>14.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preparing the interim financial statements for the three months ended March 31, 2026, the Company evaluated subsequent events for recognition and measurement purposes during which time the following event has occurred that requires disclosure: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Amoytop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the Company and Amoytop entered into an exclusive license agreement to develop and commercialize pevifoscorvir sodium in Greater China, which includes Mainland China, Taiwan, Hong Kong, and Macau for HBV infection. The closing of the transaction was conditional and automatically effective upon Amoytop receiving approval at a Shareholder's Meeting, which occurred on May 7,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agreement, the Company is to receive an upfront milestone of $25 million and is eligible to receive up to $420 million in clinical, regulatory, and sales milestones along with tiered, high single-digit royalties on net sales in Amoytop’s licensed territories. As between the parties, the Company retains all development and commercialization rights for pevifoscorvir sodium in the United States, Europe, South Korea, Japan, and all other markets. In addition, the Company retains the right to conduct clinical trials in Greater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m2"/>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coronavirus infections as well as obesity. The Aligos team has a demonstrated track record of success in drug development and medicinal chemistry in liver and viral diseases, resulting in three potential best</w:t>
        <w:noBreakHyphen/>
        <w:t>in</w:t>
        <w:noBreakHyphen/>
        <w:t xml:space="preserve">class drug candidates currently in clinical development. </w:t>
      </w:r>
    </w:p>
    <w:p>
      <w:pPr>
        <w:pStyle w:val="TextBody"/>
        <w:bidi w:val="0"/>
        <w:spacing w:before="120" w:after="283"/>
        <w:jc w:val="left"/>
        <w:rPr>
          <w:rFonts w:ascii="Times New Roman" w:hAnsi="Times New Roman"/>
          <w:sz w:val="20"/>
        </w:rPr>
      </w:pPr>
      <w:r>
        <w:rPr>
          <w:rFonts w:ascii="Times New Roman" w:hAnsi="Times New Roman"/>
          <w:color w:val="000000"/>
          <w:sz w:val="20"/>
        </w:rPr>
        <w:t>Our pipeline of drug candidates includes pevifoscorvir sodium (previously known as ALG</w:t>
        <w:noBreakHyphen/>
        <w:t>000184) for chronic HBV infection, ALG</w:t>
        <w:noBreakHyphen/>
        <w:t>055009 for MASH and obesity, ALG</w:t>
        <w:noBreakHyphen/>
        <w:t>097558 for coronavirus infections, and a portfolio of preclinical programs. Pevifoscorvir sodium is our potential best</w:t>
        <w:noBreakHyphen/>
        <w:t>/first</w:t>
        <w:noBreakHyphen/>
        <w:t>in</w:t>
        <w:noBreakHyphen/>
        <w:t>class Capsid Assembly Modulator (CAM</w:t>
        <w:noBreakHyphen/>
        <w:t>E) for chronic HBV infection which has shown in pre-clinical testing to have enhanced pharmacologic properties vs. competitor CAM</w:t>
        <w:noBreakHyphen/>
        <w:t>E drugs and greater HBV DNA suppression compared to the standard of care, nucleos(t)ide analogs (NAs), and has shown multi-log</w:t>
      </w:r>
      <w:r>
        <w:rPr>
          <w:rFonts w:ascii="Times New Roman" w:hAnsi="Times New Roman"/>
          <w:color w:val="000000"/>
          <w:sz w:val="13"/>
        </w:rPr>
        <w:t>10</w:t>
      </w:r>
      <w:r>
        <w:rPr>
          <w:rFonts w:ascii="Times New Roman" w:hAnsi="Times New Roman"/>
          <w:color w:val="000000"/>
          <w:sz w:val="20"/>
        </w:rPr>
        <w:t xml:space="preserve"> reductions in viral antigens in Phase 1 clinical studies conducted to date. Pevifoscorvir sodium recently received Fast Track Designation from the Food and Drug Administration (FDA) in chronic HBV infection. ALG</w:t>
        <w:noBreakHyphen/>
        <w:t>055009 is our potential best</w:t>
        <w:noBreakHyphen/>
        <w:t>in</w:t>
        <w:noBreakHyphen/>
        <w:t>class thyroid hormone receptor beta (THR</w:t>
        <w:noBreakHyphen/>
        <w:t>β) agonist for MASH and obesity with pharmacologic properties that appear to be enhanced based on data to date vs. competitor THR-β agonists. Phase 2a topline data demonstrated that ALG</w:t>
        <w:noBreakHyphen/>
        <w:t>055009 dose groups met the primary endpoint with statistically significant reductions in liver fat at Week 12 as measured by MRI-PDFF in subjects with presumed MASH. Recently presented nonclinical data suggests synergistic fat mass loss in combination with incretin receptor agonists in diet induced obese (DIO) mice. ALG</w:t>
        <w:noBreakHyphen/>
        <w:t>097558 is our potential best</w:t>
        <w:noBreakHyphen/>
        <w:t>in</w:t>
        <w:noBreakHyphen/>
        <w:t xml:space="preserve">class small molecule pan-coronavirus 3CL protease inhibitor (PI), which has been at least 3-fold more potent in cell-based assays of coronavirus infection than other approved CoV PIs and we believe can be dosed twice daily without the requirement for ritonavir co-dosing based on Phase 1 clinical studies conducted to date.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Pevifoscorvir sodium: Potential best</w:t>
        <w:noBreakHyphen/>
        <w:t>in</w:t>
        <w:noBreakHyphen/>
        <w:t>class small molecule CAM</w:t>
        <w:noBreakHyphen/>
        <w:t>E for chronic hepatitis B virus infection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area of focus seeks to enhance the viral suppression and rate of functional cure for chronic HBV infection, which often results in life-threatening conditions such as cirrhosis, end-stage liver disease, and the most common form of liver cancer, hepatocellular carcinoma (HCC). To achieve this, we are developing a portfolio of differentiated chronic HBV infection drug candidates, including a small molecule CAM that results in the production of empty viral capsids.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2018, we in</w:t>
        <w:noBreakHyphen/>
        <w:t>licensed a lead drug candidate (GLP</w:t>
        <w:noBreakHyphen/>
        <w:t>26) and the associated IP for a CAM</w:t>
        <w:noBreakHyphen/>
        <w:t>E from the laboratory of Professor Raymond Schinazi at Emory University. Our scientists optimized this lead drug candidate to discover the highly potent CAM</w:t>
        <w:noBreakHyphen/>
        <w:t>E, ALG</w:t>
        <w:noBreakHyphen/>
        <w:t>001075, which was further optimized to the prodrug pevifoscorvir sodium. Based on pre-clinical data to date, pevifoscorvir sodium has superior DMPK properties with enhanced absorption and high liver uptake, with a ~2-300-fold improvement in in vitro potency compared to other known CAMs. CAM</w:t>
        <w:noBreakHyphen/>
        <w:t>Es are a class of small molecule antiviral agents that accelerate HBV capsid assembly and inhibit pgRNA encapsidation (1st MOA), resulting in empty viral capsids and lower circulating HBV DNA and RNA levels. CAM-Es have the potential to prevent HBV DNA integration by blocking the conversion of pgRNA to dslDNA, the form which integrates into the host chromosome. CAM</w:t>
        <w:noBreakHyphen/>
        <w:t>Es are also believed to prevent the establishment and replenishment of cccDNA (2nd MOA), a major factor for the persistence of HBV infection which can be assessed by circulating HBV antigen levels (HBsAg, HBcrAg, and HBeAg). These three drivers, replication, integration, and the reservoir, comprise the disease pathogenesis which can lead to end-stage liver disease and liver cancer. We believe that effective therapies for chronic HBV infection must address all three drivers. In preclinical studies and clinical trials conducted to date, pevifoscorvir sodium has demonstrated the potential to not only block HBV replication and prevent HBV DNA integration, but also reduce the cccDNA reservoir, all clinically relevant markers that improve outcomes in chronic HBV infection.</w:t>
      </w:r>
    </w:p>
    <w:p>
      <w:pPr>
        <w:pStyle w:val="TextBody"/>
        <w:bidi w:val="0"/>
        <w:spacing w:before="120" w:after="283"/>
        <w:jc w:val="left"/>
        <w:rPr>
          <w:rFonts w:ascii="Times New Roman" w:hAnsi="Times New Roman"/>
          <w:sz w:val="20"/>
        </w:rPr>
      </w:pPr>
      <w:r>
        <w:rPr>
          <w:rFonts w:ascii="Times New Roman" w:hAnsi="Times New Roman"/>
          <w:color w:val="000000"/>
          <w:sz w:val="20"/>
        </w:rPr>
        <w:t>A multi-part Phase 1 study is complete, with evaluation of the safety, tolerability, and pharmacokinetic profile of pevifoscorvir sodium in HVs. Additionally, a dose-ranging phase assessing the safety, pharmacokinetics (PK), and antiviral activity of 10</w:t>
        <w:noBreakHyphen/>
        <w:t>300 mg doses of pevifoscorvir sodium administered over 28 days in untreated HBeAg+/- subjects with chronic HBV infection has also been completed. In these study phases, pevifoscorvir sodium was found to be well tolerated with a favorable PK profile and demonstrated potentially best-in-class multi-log</w:t>
      </w:r>
      <w:r>
        <w:rPr>
          <w:rFonts w:ascii="Times New Roman" w:hAnsi="Times New Roman"/>
          <w:color w:val="000000"/>
          <w:sz w:val="13"/>
        </w:rPr>
        <w:t>10</w:t>
      </w:r>
      <w:r>
        <w:rPr>
          <w:rFonts w:ascii="Times New Roman" w:hAnsi="Times New Roman"/>
          <w:color w:val="000000"/>
          <w:sz w:val="20"/>
        </w:rPr>
        <w:t xml:space="preserve"> HBV DNA and RNA reductions at all doses tested, as well as HBV surface antigen (HBsAg) reductions in a subset of HBeAg+ subjects receiving 100 mg or 300 mg of pevifoscorvir sodium (Hou et al, AASLD 2022). Based on the favorable profile observed with dosing up to 300 mg of pevifoscorvir sodium for 28 days, additional Phase 1 studies evaluated the risk-benefit profile of pevifoscorvir sodium at doses of 300 mg, with or without entecavir (ETV) therapy, for up to 96 weeks in HBeAg+ and HBeAg- subjects with chronic HBV infection. Data from these cohorts (Yuen et al., AASLD 2025) have been presented, showing that pevifoscorvir sodium, administered for up to 96 weeks, was well tolerated, exhibited a favorable PK profile,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suggested potentially best-in-class potent and durable antiviral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this study following an oral daily dose of 300 mg pevifoscorvir sodium monotherapy in HBeAg+ subjects demonstrated sustained HBV DNA suppression (&lt;LLOQ (10 IU/mL, target detected (TD) or target not detected (TND)) in 6/10 (60%) subjects with chronic HBV infection at Week 48 and 9/9 (100%) at Week 96. Additionally, HBV DNA level continuously declined to &lt; LLOQ (10 IU/mL, TND) in 5 of 10 subjects at Week 96. Data from the 300 mg pevifoscorvir sodium HBeAg- monotherapy cohort demonstrated HBV DNA suppression in all 11/11 (100%) subjects by Week 24 with the HBV DNA suppression level maintained for up to 96 weeks, with further decline in HBV DNA to &lt; LLOQ (10 IU/mL, TND) observed in 8/9 subjects (89%) at Week 96. Importantly, no viral breakthrough was observed in any subject, and no known CAM resistant mutations were identified. </w:t>
      </w:r>
    </w:p>
    <w:p>
      <w:pPr>
        <w:pStyle w:val="TextBody"/>
        <w:bidi w:val="0"/>
        <w:spacing w:before="120" w:after="120"/>
        <w:jc w:val="left"/>
        <w:rPr>
          <w:rFonts w:ascii="Times New Roman" w:hAnsi="Times New Roman"/>
          <w:sz w:val="20"/>
        </w:rPr>
      </w:pPr>
      <w:r>
        <w:rPr>
          <w:rFonts w:ascii="Times New Roman" w:hAnsi="Times New Roman"/>
          <w:color w:val="000000"/>
          <w:sz w:val="20"/>
        </w:rPr>
        <w:t>Additionally, HBV RNA level achieved &lt; LLOQ (10 copies/mL) in all HBeAg+ and HBeAg- subjects by Week 52 and Week 6, respectively. Furthermore, concurrent multi-log</w:t>
      </w:r>
      <w:r>
        <w:rPr>
          <w:rFonts w:ascii="Times New Roman" w:hAnsi="Times New Roman"/>
          <w:color w:val="000000"/>
          <w:sz w:val="13"/>
        </w:rPr>
        <w:t>10</w:t>
      </w:r>
      <w:r>
        <w:rPr>
          <w:rFonts w:ascii="Times New Roman" w:hAnsi="Times New Roman"/>
          <w:color w:val="000000"/>
          <w:sz w:val="20"/>
        </w:rPr>
        <w:t xml:space="preserve"> reductions in HBV antigens (HBsAg, HBeAg, and HBcrAg) in HBeAg+ subjects and HBcrAg decline in HBeAg- subjects were observed, suggesting the potential inhibition of cccDNA establishment by CAM-E 2nd mechanism of action of pevifoscorvir sodium.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data presented at AASLD’s The Liver Meeting® 2025 highlighted outcomes for treatment-naïve or currently not treated HBeAg+ and HBeAg- subjects who completed 96 weeks of 300 mg pevifoscorvir sodium monotherapy, followed by 8 weeks of nucleos(t)ide analog (NA) monotherapy. Reductions in HBV DNA, HBV antigens, and HBV RNA were largely maintained during the NA-only 8-week follow-up period. Notably, viral biomarkers such as HBV antigens and HBV RNA are typically unaffected by NA therapy, suggesting that pevifoscorvir sodium may reduce the cccDNA pool through engagement of its secondary mechanism of action (Yuen et al., AASLD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preclinical in vitro data demonstrated that ALG-001075, the active parent moiety of pevifoscorvir sodium, can prevent cccDNA formation and HBV DNA integration. This finding was demonstrated by cell-based studies, which showed prevention of cccDNA establishment and HBV DNA integration following treatment with ALG-001075 (Verheyen, et. al. AASLD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Compared to Phase 3 studies with the current standard of care nucleos(t)ide analogs (NAs), tenofovir disoproxil fumarate (TDF) and tenofovir alafenamide (TAF) (Buti et al., Lancet Gastro, 2016; Chen et al., Lancet Gastro 2016), these Phase 1 data to date suggest, subject to confirmation via further study, that pevifoscorvir sodium treatment may be superior to NAs in HBeAg+/- subjects in achieving HBV DNA levels &lt; LLOQ (10 IU/mL) after 48 weeks on treatment. Chronic suppressive therapy of HBV DNA levels is a validated approval pathway in chronic HBV infection (Food and Drug Administration (FDA) Guidance, Chronic Hepatitis B Virus Infection: Developing Drugs for Treatment Guidance for Industry, April 2022 – Section III.B.1.a). We have received affirmative feedback from the FDA, the Committee for Medicinal Products for Human Use (CHMP: EU) and the National Medical Products Administration (NMPA: China) supporting subsequent studies utilizing the chronic suppressive therapy pathway for pevifoscorvir sodium. Our ongoing Phase 2 B-SUPREME study is being conducted to test superiority to standard of care NA treatment (HBV DNA levels &lt;LLOQ (10 IU/ml, TD or TND) in HBeAg+ subjects and HBV DNA levels &lt; LLOQ (10 IU/ml, TND) in HBeAg- subjects) after 48 weeks of monotherapy treatment. Furthermore, when combined with other mechanisms of action, including other candidates in our chronic HBV infection portfolio, pevifoscorvir sodium dosing regimens have the potential to contribute to achieving higher rates of functional cure, subject to testing such endpoint, as compared with currently approved agents. </w:t>
      </w:r>
    </w:p>
    <w:p>
      <w:pPr>
        <w:pStyle w:val="TextBody"/>
        <w:bidi w:val="0"/>
        <w:jc w:val="left"/>
        <w:rPr>
          <w:rFonts w:ascii="Times New Roman" w:hAnsi="Times New Roman"/>
          <w:color w:val="000000"/>
          <w:sz w:val="20"/>
        </w:rPr>
      </w:pPr>
      <w:r>
        <w:rPr>
          <w:rFonts w:ascii="Times New Roman" w:hAnsi="Times New Roman"/>
          <w:color w:val="000000"/>
          <w:sz w:val="20"/>
        </w:rPr>
        <w:t>With the completion of the 96 week Phase 1 study, we initiated the Phase 2 B-SUPREME study (NCT06963710), which is designed as a randomized, double-blind, active-controlled multicenter study evaluating the safety and efficacy of pevifoscorvir sodium monotherapy compared with tenofovir disoproxil fumarate for 48 weeks in approximately 200 currently untreated HBeAg+ and HBeAg- adult subjects with chronic HBV infection. The primary endpoint in the HBeAg+ arm is HBV DNA &lt;LLOQ (10 IU/mL, TD or TND) and the primary endpoint in the HBeAg- arm is HBV DNA &lt;LLOQ (10 IU/mL, TND). The study is also evaluating safety, PK, and other secondary and exploratory HBV biomarkers, including reductions in HBV antigens and other markers of HBV infection. The Phase 2 study has obtained regulatory approvals to move forward in every country included in the study and is currently enrolling subjects. As of April 2026, there were 74 participants enrolled in the HBeAg- cohort (Part 2a), with 103 participants enrolled in the HBeAg+ cohort (Part 1a).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study design for the Phase 2 B-SUPREME study includes pre-specified sample size re-estimations for both Parts 1a and 2a to ensure sufficient power to demonstrate a statistically significant treatment effect at the primary endpoint. The first interim analysis occurred in April 2026, which was performed after approximately 60% of HBeAg- participants (N=34, Part 2a) reached Week 12 or later. In addition, safety data was reviewed for all participants enrolled in the study (N=174) at the time the interim analysis was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Findings from the first interim analysis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Data Safety Monitoring Board (DSMB) recommended increasing the sample size of Part 2a from 74 currently enrolled to 100 participants. A futility analysis was performed; the prespecified futility criteria was not met, per the statistical analysis plan.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study drugs were well-tolerated with no clinically concerning laboratory, physical examination, vital sign, or ECG abnormalities. No viral breakthrough related to study drugs has been observed in the study to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second protocol defined interim analysis is planned when approximately 50% of HBeAg+ participants complete 24 weeks of the treatment period. This enrollment milestone occurred in January 2026. This interim analysis is expected to occur in the second half of 2026. To preserve study integrity and comply with FDA regulatory requirements, we will remain blinded to subject-level data and will receive insights from the independent DSMB on protocol-specified assessments, including the potential for sample size re-estimation at each interim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topline data for the Phase 2 B-SUPREME study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we announced that we entered an exclusive license deal with Xiamen Amoytop Biotech Co., Ltd. (Amoytop) to develop and commercialize pevifoscorvir sodium in Mainland China, Taiwan, Hong Kong, and Macau for chronic HBV infection with Amoytop for an upfront payment of $25 million and up to $420 million in clinical, regulatory, and sales milestones, along with tiered, high single-digit royalties. The closing of the transaction was conditional and automatically effective upon Amoytop receiving approval at a Shareholder’s Meeting, which occurred on May 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exploring additional ways to potentially treat patients with chronic HBV infection, including our antisense oligonucleotide (ASO) platform which utilizes novel monomers that could potentially reduce ASO toxicity and improve ASO liver to kidney ratios. Along with our partner Amoytop, ALG-170675 was selected and is currently in IND-enabling studies. Current costs for development in China are being funded by Amoytop, who maintain rights in China, Taiwan, Hong Kong and Macau. This next-generation ASO works via two mechanisms of action. It targets and destroys HBsAg-encoding mRNA and activates the immune response through TLR-8 agonism.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pursuing a novel strategy for a potential cure for hepatitis delta virus (HDV) coinfection by utilizing a proprietary ASO approach targeting the destruction of the viral genome. Ongoing work is aimed at the selection of a clinical development candidate.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ALG</w:t>
        <w:noBreakHyphen/>
        <w:t>055009: Potential best-in-class small molecule THR-β agonist for metabolic dysfunction-associated steatohepatitis and obesity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Obesity is a complex disease caused by an overabundance of body fat that increases the risk of other comorbidities, such as MASH. MASH is a complex, chronic liver disease which is a leading cause of liver-related morbidity including cirrhosis, hepatocellular carcinoma, liver transplant, and end-stage liver disease. In 2014, the first GLP-1 receptor agonist, liraglutide, was approved for weight loss and in 2024, the FDA approved resmetirom, a THR-β agonist, as the first drug for the treatment of MASH. However, additional agents in these classes are needed to address remaining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 potentially improved PK profile compared to other THR-β agonists. We believe these advantages position ALG</w:t>
        <w:noBreakHyphen/>
        <w:t xml:space="preserve">055009 as a strong candidate to become a best-in-class THR-β agonist.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first-in-human Phase 1 study of ALG</w:t>
        <w:noBreakHyphen/>
        <w:t>055009 in MASH in HVs (oral single ascending doses (SAD)) and in subjects with hyperlipidemia (14 oral daily multiple ascending doses (MAD)) has been completed. Clinical data after single doses up to 4 mg and multiple doses up to 1 mg showed that ALG</w:t>
        <w:noBreakHyphen/>
        <w:t xml:space="preserve">055009 was well tolerated, had dose proportional PK with low intersubject variability, and demonstrated expected thyromimetic effects (i.e., generally dose proportional increases in sex hormone binding globulin and decreases in various atherogenic lipids and thyroid hormones without any clinical evidence of thyroid dysfunction).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these promising Phase 1 data, we conducted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noBreakHyphen/>
        <w:t xml:space="preserve">β agonists. We announced positive topline data from this study in 2024, demonstrating that ALG-055009 dose groups were well-tolerated and met the primary endpoint. Specifically, doses of 0.5 mg to 0.9 mg ALG-055009 demonstrated statistically significant reductions in liver fat at Week 12, with placebo-adjusted median relative reductions up to 46.2% as measured by MRI-PDFF. Up to 70% of subjects achieved ≥30% relative reduction in liver fat compared to baseline. Eighteen subjects who were on stable GLP-1 receptor agonist therapy qualified for enrollment in the study, with liver fat content meeting the inclusion criteria of ≥10% at baseline as measured by MRI-PDFF. Notably, 11 of 14 subjects on stable GLP-1 receptor agonists treated with ALG-055009 had liver fat decreases, whereas 4 of 4 subjects on stable GLP-1 receptor agonists treated with placebo had increases in liver fat over the 12-week dosing period (Loomba et al, AASLD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Phase 2a HERALD study, ALG</w:t>
        <w:noBreakHyphen/>
        <w:t>055009 demonstrated a favorable tolerability profile with no evidence of clinical hyper/hypothyroidism. Incidence of gastrointestinal-related treatment emergent adverse events were similar in ALG</w:t>
        <w:noBreakHyphen/>
        <w:t xml:space="preserve">055009 dose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groups compared to placebo. Specifically, similar rates of diarrhea were observed in ALG</w:t>
        <w:noBreakHyphen/>
        <w:t xml:space="preserve">055009 dose groups compared to placebo, with no dose-response. Significant reductions in atherogenic lipids, including LDL-C, lipoprotein (a), and apolipoprotein B, were also observed (Loomba et al, AASLD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findings reported by other companies have suggested that THR-β agonists can significantly enhance weight loss when administered in combination with incretin receptor agonists (RAs) for the treatment of obesity.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presented in vivo data in diet induced obese (DIO) mice treated with SEMA, TIRZEP, or a combination of ALG-055009 and SEMA or TIRZEP for 28 days demonstrated synergistic weight loss in the combination groups compared to monotherapy groups. SEMA monotherapy resulted in a maximum of 23.9 ±2.6% body weight loss, while the combination of SEMA and ALG-055009 had an additional 8.6% decrease for a maximum 33% body weight loss. The low and high doses of TIRZEP led to maximum of 27.1 ±2.7% and 34.4 ±1.6% body weight loss, respectively. Combination of TIRZEP (low) or TIRZEP (high) with ALG</w:t>
        <w:noBreakHyphen/>
        <w:t xml:space="preserve">055009 induced an additional 11.7% and 5.8% decrease for a maximum of 39% and 40% body weight loss,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additional weight loss in the combination therapy of either incretin receptor agonist and ALG-055009 was mainly due to additional loss of fat mass, with no significant effect on lean mass or food consumption as compared to incretin receptor agonist monotherapy. These preclinical data suggest a potentially significant benefit of adding ALG-055009 to an incretin receptor agonist therapy for weight loss, especially in combination with a low-dose of a potent molecule, such as tirzepatide.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ALG-055009 warrants further development as a potential treatment for both obesity and MASH. We are continuing to evaluate a variety of options to fund continued development, including potential out-licensing.</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ALG</w:t>
        <w:noBreakHyphen/>
        <w:t>097558: Potential best-in-class small molecule ritonavir-free protease inhibitor for pan-coronavirus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w:t>
        <w:noBreakHyphen/>
        <w:t xml:space="preserve">097558 which has completed a Phase 1 first-in-human evaluation in HVs and advanced into a clinical trial evaluating the compound in high-risk COVID-19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w:t>
        <w:noBreakHyphen/>
        <w:t>097558 has been shown in preclinical studies to be at least 3-fold more potent than nirmatrelvir and other PIs in clinical development against a panel of SARS-CoV-2 variants (including Omicron). It also has demonstrated broad pan</w:t>
        <w:noBreakHyphen/>
        <w:t>coronavirus activity, including against SARS-CoV-1 and MERS-CoV in preclinical studies. In the first-in-human Phase 1 clinical study, single doses up to 2000 mg and multiple doses up to 800 mg Q12H for 7 days were well tolerated with an acceptable PK profile that suggests ritonavir boosting may not be required. Furthermore, the absence of a clinically relevant DDI with midazolam suggests that ALG</w:t>
        <w:noBreakHyphen/>
        <w:t>097558 may be shown to be appropriate for co-administration with CYP3A4 substrates (NCT05840952). Based on these Phase 1 data (Wilkes et al., RespiDart, 2024), the projected efficacious dose range to treat SARS-CoV-2 is 200-600 mg ALG</w:t>
        <w:noBreakHyphen/>
        <w:t xml:space="preserve">097558 Q12 x 5 days, without the need for ritonavir coadministration.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Phase 2 study of ALG</w:t>
        <w:noBreakHyphen/>
        <w:t>097558 began in 2024. The AGILE trial, a United Kingdom government-supported platform trial (MRC and Wellcome Trust funding), is sponsoring and performing a study in standard and high</w:t>
        <w:noBreakHyphen/>
        <w:t>risk COVID</w:t>
        <w:noBreakHyphen/>
        <w:t>19 patients evaluating ALG</w:t>
        <w:noBreakHyphen/>
        <w:t>097558 as monotherapy or in combination with remdesivir (NCT04746183). We expect that future development of ALG</w:t>
        <w:noBreakHyphen/>
        <w:t>097558 will be funded by external sources, including public funding sources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are now also being funded with federal funds from the NIAID, NIH, Department of Health and Human Services, under Contract No. 75N93023C00052. We filed an IND in the third quarter of 2024. We expect to receive approximately $15.3 million in funds across these two NIH awards and contracts to support these activities. To date, these funds have not been impacted by any changes at the NIH or NIAID. We are also seeking additional external funding (e.g., from governmental agencies) and/or collaborations (e.g., platform trials) to support future studies as we advance ALG</w:t>
        <w:noBreakHyphen/>
        <w:t>097558 for the treatment of COVID</w:t>
        <w:noBreakHyphen/>
        <w:t xml:space="preserve">19 and future coronavirus pandemics.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revenues consist of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Customer revenue</w:t>
      </w:r>
      <w:r>
        <w:rPr>
          <w:rFonts w:ascii="Times New Roman" w:hAnsi="Times New Roman"/>
          <w:color w:val="000000"/>
          <w:sz w:val="20"/>
        </w:rPr>
        <w:t xml:space="preserve"> includes recognition of revenue generated from research and development services under third-party contracts with customers. In order to record customer revenue, we utilize an input method to recognize revenue over time as costs are incurred.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have historically consisted of research and development costs and general and administrative costs.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in connection with our ongoing and planned clinical development activities for pevifoscorvir sodium and our other drug candidates.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employee-related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in-process research and development, including license fees and milestones paid to third-party collaborators for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collaborators that perform nonclinical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for rent and maintenance of facilities, insurance, and other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associated with maintaining compliance with exchange listing rules and requirements of the Securities and Exchange Commission (the SEC), director and officer insurance costs, and investor and public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comprises interest income, net and other income, net. Interest income, net primarily consists of interest earned on our cash, cash equivalents, and investments. Other income, net includes investments and foreign currency gains/losses.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2023 Common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 in fair value of 2023 Common Warrants includes the remeasurement of the 2023 Common Warrants using the Black Scholes option pricing model at each reporting period.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March 31,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months ended March 31, 2026 and 2025 (in thousands):</w:t>
      </w:r>
    </w:p>
    <w:p>
      <w:pPr>
        <w:pStyle w:val="TextBody"/>
        <w:bidi w:val="0"/>
        <w:jc w:val="left"/>
        <w:rPr/>
      </w:pPr>
      <w:r>
        <w:rPr/>
        <w:t> </w:t>
      </w:r>
    </w:p>
    <w:tbl>
      <w:tblPr>
        <w:tblW w:w="9063" w:type="dxa"/>
        <w:jc w:val="left"/>
        <w:tblInd w:w="0" w:type="dxa"/>
        <w:tblLayout w:type="fixed"/>
        <w:tblCellMar>
          <w:top w:w="28" w:type="dxa"/>
          <w:left w:w="28" w:type="dxa"/>
          <w:bottom w:w="28" w:type="dxa"/>
          <w:right w:w="28" w:type="dxa"/>
        </w:tblCellMar>
      </w:tblPr>
      <w:tblGrid>
        <w:gridCol w:w="4006"/>
        <w:gridCol w:w="146"/>
        <w:gridCol w:w="146"/>
        <w:gridCol w:w="211"/>
        <w:gridCol w:w="736"/>
        <w:gridCol w:w="166"/>
        <w:gridCol w:w="146"/>
        <w:gridCol w:w="211"/>
        <w:gridCol w:w="736"/>
        <w:gridCol w:w="166"/>
        <w:gridCol w:w="146"/>
        <w:gridCol w:w="211"/>
        <w:gridCol w:w="736"/>
        <w:gridCol w:w="166"/>
        <w:gridCol w:w="146"/>
        <w:gridCol w:w="146"/>
        <w:gridCol w:w="526"/>
        <w:gridCol w:w="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 from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customers increased by $2.5 million for the three months ended March 31, 2026, when compared to the same period in 2025. The increase was due to a milestone payment received from Amoytop, due to a candidate entering GLP toxicology studies in the first quarter of 2026. We expect to recognize additional revenue from customers in 2026 in connection with the upfront payment received under our April 2026 license agreement with Amoytop.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track direct external research and development expenses on a program-specific basis (chronic HBV infection, MASH, coronaviruses and early-stage programs). The following table summarizes these research and development costs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91" w:type="dxa"/>
        <w:jc w:val="left"/>
        <w:tblInd w:w="0" w:type="dxa"/>
        <w:tblLayout w:type="fixed"/>
        <w:tblCellMar>
          <w:top w:w="28" w:type="dxa"/>
          <w:left w:w="28" w:type="dxa"/>
          <w:bottom w:w="28" w:type="dxa"/>
          <w:right w:w="28" w:type="dxa"/>
        </w:tblCellMar>
      </w:tblPr>
      <w:tblGrid>
        <w:gridCol w:w="5801"/>
        <w:gridCol w:w="146"/>
        <w:gridCol w:w="256"/>
        <w:gridCol w:w="820"/>
        <w:gridCol w:w="201"/>
        <w:gridCol w:w="256"/>
        <w:gridCol w:w="820"/>
        <w:gridCol w:w="591"/>
      </w:tblGrid>
      <w:tr>
        <w:trPr/>
        <w:tc>
          <w:tcPr>
            <w:tcW w:w="5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expenses by development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Chronic Hepatitis B virus infection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Metabolic dysfunction-associated steatohepatitis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Coronaviruses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by $8.9 million during the three months ended March 31, 2026, compared to the same period in 2025. The increase in the three-month period was primarily due to a $6.2 million increase in third-party expenses due to increased clinical study costs as a result of the beginning of enrollment and dosing in the pevifoscorvir sodium Phase 2 B</w:t>
        <w:noBreakHyphen/>
        <w:t xml:space="preserve">SUPREME clinical trial. Further, there was a $2.2 million increase in employee-related costs, and a $0.4 million increase in facility and other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research and development expenses will increase in future periods as we continue to focus on advancing clinical trials for pevifoscorvir sodium.</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$1.4 million during the three months ended March 31, 2026, compared to the same period in 2025. This was primarily due to a $0.7 million increase in employee-related costs, as well as a $0.4 million increase in third party expenses due to increased legal and intellectual property spend.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general and administrative expenses will increase in future periods due to increased activity in our research and development group, which will require more resources and additional activities in our general and administration group.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and other income, net remained relatively flat during the three months ended March 31, 2026 as compared to the same period in the prior year. </w:t>
      </w:r>
    </w:p>
    <w:p>
      <w:pPr>
        <w:pStyle w:val="TextBody"/>
        <w:bidi w:val="0"/>
        <w:spacing w:before="240" w:after="240"/>
        <w:jc w:val="left"/>
        <w:rPr>
          <w:rFonts w:ascii="Times New Roman" w:hAnsi="Times New Roman"/>
          <w:sz w:val="20"/>
        </w:rPr>
      </w:pPr>
      <w:r>
        <w:rPr>
          <w:rFonts w:ascii="Times New Roman" w:hAnsi="Times New Roman"/>
          <w:i/>
          <w:color w:val="000000"/>
          <w:sz w:val="20"/>
        </w:rPr>
        <w:t>Change in fair value of 2023 Common Warrants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change in fair value of 2023 Common Warrants was a decrease of $58.1 million for the three months ended March 31, 2026 compared to the same period ended March 31, 2025. The change was due to a change in the fair value of the 2023 Common Warrants measured using the Black Scholes option pricing model remeasured at each reporting period, principally due to a change in the stock price between reporting periods.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year since inception. Our net losses were $23.0 million for the three months ended March 31, 2026 and $24.2 million for the year ended December 31, 2025. As of March 31, 2026, we had an accumulated deficit of $665.2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no revenue from product sales, and it is uncertain when in the future we may generate product sales. We have no internal manufacturing capabilities or sales force, and we outsource a substantial portion of our clinical trial work to third parties.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been financed primarily by net proceeds from the sale and issuance of our convertible preferred stock, proceeds from public offerings, revenue from customer and collaboration agreements, and proceeds from private placements of our common stock, warrants and pre-funded warrants, and the issuance of 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entered into a securities purchase agreement (the 2025 Securities Purchase Agreement) with certain investors named therein (the Purchasers) pursuant to which we issued (i) 2,103,307 shares of our common stock (the Common Stock), consisting of 1,427,000 shares of voting Common Stock and 676,307 shares of non-voting Common Stock, (ii) pre</w:t>
        <w:noBreakHyphen/>
        <w:t xml:space="preserve">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Common Stock. Each Warrant is exercisable for one share of Common Stock (the 2025 Private Placement). We received gross proceeds of $105.0 million. In connection with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following demand by the Lead Investor to register the resale of shares of Common Stock and any Common Stock issued or issuable upon the exercise or conversion of non-voting Common Stock and any of our other securities held by the Lead Investor. </w:t>
      </w:r>
    </w:p>
    <w:p>
      <w:pPr>
        <w:pStyle w:val="TextBody"/>
        <w:bidi w:val="0"/>
        <w:spacing w:before="120" w:after="283"/>
        <w:jc w:val="left"/>
        <w:rPr>
          <w:rFonts w:ascii="Times New Roman" w:hAnsi="Times New Roman"/>
          <w:sz w:val="20"/>
        </w:rPr>
      </w:pPr>
      <w:r>
        <w:rPr>
          <w:rFonts w:ascii="Times New Roman" w:hAnsi="Times New Roman"/>
          <w:i/>
          <w:color w:val="000000"/>
          <w:sz w:val="20"/>
        </w:rPr>
        <w:t>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an accumulated deficit of $665.2 million, and cash, cash equivalents and short-term investments of $54.9 million. Our current operating plan and projected cash outflows for the upcoming periods raise doubt about our ability to continue as a going concern for at least 12 months from the issuance of the financial statements included elsewhere in this Quarterly Report. We plan to raise additional capital to fund continued operations beyond the fourth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Moreover, even if financing efforts are successful and additional capital is obtained, available liquidity may still be insufficient to eliminate the aforementioned substantial doubt regarding our ability to continue as a going concern.</w:t>
      </w:r>
    </w:p>
    <w:p>
      <w:pPr>
        <w:pStyle w:val="TextBody"/>
        <w:bidi w:val="0"/>
        <w:spacing w:before="24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primarily of research and development costs related to our drug candidates and our discovery programs, and to a lesser extent, general and administrative expenditures. Our current operating plan and projected cash outflows for the upcoming periods raise doubt about our ability to continue as a going concern for at least 12 months from the issuance of the financial statements. If we are successful with our ability to access additional funding, we expect our expenses to increase substantially in connection with our ongoing clinical development activities related to our chronic HBV infection drug candidate pevifoscorvir sodium, for which has an ongoing Phase 2 trial, as well as our research and development of our other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expenses will increase substantially to the extent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current and future clinical trials, and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continue research and nonclinical and clinical development of other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marketing approvals for any of our drug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drug candidates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clinical, quality control, manufacturing, medical affairs and scientific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milestones triggering payments by us under our current and potential future licensing and/or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out or expand existing facilities to support our ongoing development activity;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and payments received from our licensees;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(in thousands): </w:t>
      </w:r>
    </w:p>
    <w:p>
      <w:pPr>
        <w:pStyle w:val="TextBody"/>
        <w:bidi w:val="0"/>
        <w:jc w:val="left"/>
        <w:rPr/>
      </w:pPr>
      <w:r>
        <w:rPr/>
        <w:t> </w:t>
      </w:r>
    </w:p>
    <w:tbl>
      <w:tblPr>
        <w:tblW w:w="8564" w:type="dxa"/>
        <w:jc w:val="left"/>
        <w:tblInd w:w="0" w:type="dxa"/>
        <w:tblLayout w:type="fixed"/>
        <w:tblCellMar>
          <w:top w:w="28" w:type="dxa"/>
          <w:left w:w="28" w:type="dxa"/>
          <w:bottom w:w="28" w:type="dxa"/>
          <w:right w:w="28" w:type="dxa"/>
        </w:tblCellMar>
      </w:tblPr>
      <w:tblGrid>
        <w:gridCol w:w="5956"/>
        <w:gridCol w:w="146"/>
        <w:gridCol w:w="211"/>
        <w:gridCol w:w="736"/>
        <w:gridCol w:w="166"/>
        <w:gridCol w:w="146"/>
        <w:gridCol w:w="211"/>
        <w:gridCol w:w="78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$23.1 million and $20.9 million for the three months ended March 31, 2026 and 2025, respectively, was largely due to ongoing research and development activities, specifically our Phase 2 B</w:t>
        <w:noBreakHyphen/>
        <w:t xml:space="preserve">SUPREME study, and general administrative expenses to support those activities. Net losses for the three months ended March 31, 2026 and 2025 included, among other items, non-cash charges of stock-based compensation, non-cash lease expense, and depreciation, offset by non-cash credits including the change in the fair value of the 2023 Common Warrants and accretion of discount on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investing activities provided $34.9 million of cash, primarily due to $35.0 million related to maturities of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investing activities used $44.1 million of cash, primarily due to $64.0 million of purchase of short-term investments partially offset by $20.0 million related to maturities of short-term investments. </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net cash used by financing activities was $62.0 thousand, primarily due to payments on finance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provided by financing activities was $101.7 million, primarily due to proceeds from the 2025 PIPE financing. </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material changes to our contractual obligations and commitments as of March 31, 2026 as disclosed in the contractual obligations and commitment section in our Annual Report on Form 10-K filed with the SEC on March 5, 2026. </w:t>
      </w:r>
    </w:p>
    <w:p>
      <w:pPr>
        <w:pStyle w:val="TextBody"/>
        <w:bidi w:val="0"/>
        <w:spacing w:before="24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24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related to third party claims against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discussion of our critical accounting estimates, see the section titled “Management’s Discussion and Analysis of Financial Condition and Results of Operations” and the notes to our audited financial statements in our Annual Report on Form 10-K, filed with the SEC on March 5, 2026 for the year ended December 31, 2025, and the notes to the financial statements appearing elsewhere in this Quarterly Report on Form 10-Q. There have been no material changes to these critical accounting policies and estimates through March 31, 2026 from those discussed in our Form 10-K.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the expected impact of recently adopted accounting pronouncements, see Note 2. Summary of significant accounting policies in the “Notes to consolidated financial statements” contained in Part I, Item 8 in our Annual Report on Form 10-K, filed with the SEC on March 5, 2026. </w:t>
      </w:r>
    </w:p>
    <w:p>
      <w:pPr>
        <w:pStyle w:val="TextBody"/>
        <w:bidi w:val="0"/>
        <w:spacing w:before="24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market risk during the three months ended March 31, 2026, compared to the disclosures in Part II, Item 7A of our Annual Report on Form 10-K for the year ended December 31, 2025.</w:t>
      </w:r>
    </w:p>
    <w:p>
      <w:pPr>
        <w:pStyle w:val="TextBody"/>
        <w:bidi w:val="0"/>
        <w:spacing w:before="24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2026, our disclosure controls and procedures were effective at the reasonable assurance level.</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under the Exchange Act) that occurred during the fiscal quarter ended March 31, 2026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subject to various claims, lawsuits, and other legal and administrative proceedings arising in the ordinary course of business. The outcome of any such matters is inherently uncertain, and some of these matters may result in adverse judgments or awards, including penalties or injunctive relief, that could have an adverse effect on our business, financial condition, results of operations, or cash flows.</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condensed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not yet demonstrated an ability to successfully overcome many of the risks and uncertainties frequently encountered by companies in new and rapidly evolving fields, particularly in the biopharmaceutical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net losses. Our net losses were $23.0 million for the three months ended March 31, 2026 and $24.2 million for the year ended December 31, 2025. As of March 31, 2026, we had total stockholders’ equity of $31.8 million.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registrational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never generated revenue from product sales and may never be profitable for a full fiscal year.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nonclinical development of drug candidates and programs and identifying and developing new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any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drug candidates that we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drug candidates that we develop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navigating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$92.1 million and $105.0 million in gross proceeds, respectively, before deducting placement agent fees and other offering expenses. As of March 31, 2026, we had cash, cash equivalents and short-term investments of $54.9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primarily financed our operations through the sale of common stock, preferred stock, convertible notes and warrants, and to a lesser extent from upfront payments under our license/collaboration agreements.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each of October 2023 and February 2025, we completed a private placement of 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short-term investments will enable us to fund our operations into the fourth quarter of 2026, inclusive of the $25M upfront expected from Amoytop, which is less than 12 months following the date of this report. Accordingly, our ability to continue as a going concern will require us to obtain additional funding for our operations or significantly curtail our operations to conserve our capital resources. Moreover, it is particularly difficult to estimate with certainty our future expenses given the dynamic nature of our business, and the macro-economic environment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recurring losses from operations and negative cash flows have raised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recurring losses from operations and negative cash flows raise substantial doubt about our ability to continue as a going concern. We have devoted our resources to our research and development activities and have experienced significant operating losses since our inception. Furthermore, we expect to continue devoting substantial capital to the research and development of our drug candidates. We plan to raise additional capital to fund continued operations beyond the fourth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Further, the perception of our ability to continue as a going concern may make it more difficult for us to obtain funding for the continuation of our operations, or necessitate that we obtain funding on less favorable terms, and could result in the loss of confidence by investors, our partners and employees.</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 including our existing license agreements with Emory University (Emory), KU Leuven and Amoytop;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to establish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in 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accounting principles or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could be materially adversely affected by the effects of health pandemics or epidemics, particularly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Restrictions resulting from health pandemics or epidemics may at any time disrupt our supply chain and delay or limit our ability to obtain sufficient materials for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current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pStyle w:val="TextBody"/>
        <w:bidi w:val="0"/>
        <w:spacing w:before="240" w:after="283"/>
        <w:jc w:val="left"/>
        <w:rPr>
          <w:rFonts w:ascii="Times New Roman" w:hAnsi="Times New Roman"/>
          <w:sz w:val="20"/>
        </w:rPr>
      </w:pPr>
      <w:bookmarkStart w:id="15" w:name="risks_related_to_product_development_reg"/>
      <w:bookmarkEnd w:id="15"/>
      <w:r>
        <w:rPr>
          <w:rFonts w:ascii="Times New Roman" w:hAnsi="Times New Roman"/>
          <w:b/>
          <w:color w:val="000000"/>
          <w:sz w:val="20"/>
        </w:rPr>
        <w:t>Risks related to product development and regulatory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clinical development efforts across our drug candidates are in early or mid-stages. We have ongoing clinical trials for our most advanced drug candidates in many countries (e.g., United States, Canada, and throughout Asia and Europe).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chronic HBV infection portfolio previously included our STOPS</w:t>
      </w:r>
      <w:r>
        <w:rPr>
          <w:rFonts w:ascii="Times New Roman" w:hAnsi="Times New Roman"/>
          <w:color w:val="000000"/>
          <w:sz w:val="13"/>
        </w:rPr>
        <w:t>TM</w:t>
      </w:r>
      <w:r>
        <w:rPr>
          <w:rFonts w:ascii="Times New Roman" w:hAnsi="Times New Roman"/>
          <w:color w:val="000000"/>
          <w:sz w:val="20"/>
        </w:rPr>
        <w:t xml:space="preserve"> drug candidate, ALG-010133, one of our proprietary s-antigen transport-inhibiting oligonucleotide polymers that was in a Phase 1b dose range finding trial (NCT04485663) evaluating subjects with chronic HBV infection as well as our proprietary antisense oligonucleotide, ALG-020572, that was in a Phase 1a/1b umbrella study (NCT05001022) and for which dosing in chronic HBV infection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subject and several additional subjects experiencing ALT flares. Finally, for our siRNA drug candidate targeting HBsAg production, ALG</w:t>
        <w:noBreakHyphen/>
        <w:t xml:space="preserve">125755, we conducted a Phase 1 study evaluating single doses ranging from 20-200 mg and 50-320 mg in HVs and virologically suppressed HBeAg-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we have limited experience in preparing, submitting and prosecuting regulatory filings. Specifically, we have not previously submitted a new drug application (NDA) to the FDA or similar approval filings to a comparable foreign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current and future drug candidates depends on many factors,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successfully utilize our drug discovery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data from our clinical program that supports an acceptable risk-benefit profile of our drug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clinical supply for our clinical trials and commercial manufacturing, if our drug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drug candidates in select indications or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exclusivity for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drug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drug candidates following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United States, Canada, and throughout Asia and Europe). The rest of our programs are in nonclinical research or earlier stages of development, including our other chronic hepatitis B virus and hepatitis delta infection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failure by us or third parties to comply with regulatory requirements, including the requirements of good laboratory practice (GLP);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nonclinical or other in vivo or in vitro 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our drug candidates for use in nonclinical studies and clinical trials from third-party suppliers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due to global-scale potentially catastrophic events, including public health pandemics or epidemics, terrorism, war, and climate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obtained regulatory approval for any drug candidate and it is possible that none of our current or future drug candidates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drug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drug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drug candidates may not be sufficient to support the submission of an NDA to the FDA or other submission or to obtain regulatory approval in the United States, the European Union (EU)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 levels (maximum feasible dose is 600 mg) that were planned to be evaluated in a subsequent cohort were very unlikely to reach the 1 log</w:t>
      </w:r>
      <w:r>
        <w:rPr>
          <w:rFonts w:ascii="Times New Roman" w:hAnsi="Times New Roman"/>
          <w:color w:val="000000"/>
          <w:sz w:val="13"/>
        </w:rPr>
        <w:t>10</w:t>
      </w:r>
      <w:r>
        <w:rPr>
          <w:rFonts w:ascii="Times New Roman" w:hAnsi="Times New Roman"/>
          <w:color w:val="000000"/>
          <w:sz w:val="20"/>
        </w:rPr>
        <w:t xml:space="preserve"> IU/mL HBsAg reduction level that we had previously defined as necessary to advance the program. As another example, in March 2022, we discontinued further development of our ASO drug candidate for chronic HBV infection, ALG</w:t>
        <w:noBreakHyphen/>
        <w:t>020572, due to an unanticipated serious adverse event involving significant increase in ALT in one chronic HBV infection subject and several other subjects experiencing ALT flares in the same study. Finally, for our siRNA drug candidate targeting HBsAg production, ALG</w:t>
        <w:noBreakHyphen/>
        <w:t xml:space="preserve">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materials for drug candidates we develop or other materials necessary to conduct clinical trials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disruptions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are currently conducting clinical trials in many countries (e.g., United States, Canada, and throughout Asia and Europe).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BIOSECURE Act, which was enacted in December 2025, prohibits federal agencies from procuring or using any biotechnology equipment or services from “biotechnology companies of concern”, or entering into, extending, or renewing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uncertainty as to how measures being implemented by the new administration will impact the operations of various agencies. For example, budget cuts, layoffs, and government shut downs have and may continue to impact the work of the FDA, which may lead to delays in regulatory approvals.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chronic HBV infection is ongoing, but we may be unable to produce a therapy that successfully treats chronic HBV infection.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 significant portion of our time and financial resources in the pursuit of a treatment for chronic HBV infection, including pevifoscorvir sodium, a CAM-E that is currently in a Phase 2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MASH and obesity is ongoing, but we may be unable to produce a therapy that successfully treats MASH and/or obesity.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pursuit of a treatment for MASH, including ALG-055009, our THR</w:t>
        <w:noBreakHyphen/>
        <w:t xml:space="preserve">ß agonist which has completed a Phase 2a trial. In addition, we have conducted nonclinical research in obesity using our THR-ß agonist. If we cannot successfully develop, obtain regulatory approval for and commercialize our drug candidates for the treatment of MASH and/or obesity, our business may be harmed. The mechanism of action of our THR-ß agonist candidates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 and we do not know the degree to which it will translate into a therapeutic benefit, if any, in MASH, obesity or any other indication, and we do not know the degree to which the complex mechanism of action may contribute to long-term safety issues or adverse events when our drug candidates are taken for prolonged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MASH, obesity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and any of our drug candidates are approved for the treatment of MASH and/or obesity, our drug candidates will likely compete with products that have already been approved or may in the future be approved for the treatment of MASH and/or obesity, prior to our drug candidates and/or that have greater efficacy than our drug candidates, either alone or in combination. Behavioral modifications, such as diet and exercise, can also decrease or eliminate the demand for our THR-ß agonist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therapies for COVID-19 is at an early stage.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response to the outbreak of COVID-19, the disease caused by the virus SARS-CoV-2, we are pursuing various potential therapies to address the disease, including our drug candidate ALG-097558, an oral protease inhibitor which is currently in a clinical trial in COVID-19 subjects. Our development of this potential therapy is at an early stage, and we may be unable to produce in a timely manner a therapy that successfully treats the virus or that has broad clinical applicability,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committed significant personnel to the development of ALG-097558 for COVID-19.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have been widely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May 25, 2023, Pfizer, Inc. received an approval from the FDA for Paxlovid, an orally administered SARS-CoV-2 protease inhibitor co-administered with ritonavir. Similarly, Merck (together with Ridgeback Bio), is developing the drug molnupiravir, an oral antiviral drug which was issued an emergency use authorization by the FDA on December 23, 2021. Several drugs are likely being used off-label for treatment, such as dexamethasone.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nonclinical studies and early-stage clinical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for participation in our clinical trials and, where appropriate, tissue samples for future exploratory research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remain in the trial through the completion of evaluation;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by man-made or natural disasters, reduction of government funding for health care, or public health pandemics or epidemics or other business interruptions.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methods of drug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ongoing and planned clinical trials could reveal unacceptably severe and prevalent side effects or unexpected characteristics.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clinical trials result in undesirable side effects, or if any of our drug candidates receives marketing approval and we or others later identify undesirable side effects caused by such products, a number of potentially significant negative consequences could occur, including,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withhold approval or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new administration will impact the operations of various agencies including the FDA. For example, the potential loss of personnel at various agencies, reduction in funding for agencies, or government shut downs could lead to disruptions and delays in review of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in the case of pevifoscorvir sodium,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nucleos(t)ide analogs including tenofovir alafenamide, tenofovir disoproxil fumarate, and entecavir for treatment of chronic HBV infection.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adoption of a companion diagnostic and/or complementary diagnostic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 </w:t>
      </w:r>
    </w:p>
    <w:p>
      <w:pPr>
        <w:pStyle w:val="TextBody"/>
        <w:bidi w:val="0"/>
        <w:spacing w:before="240" w:after="283"/>
        <w:jc w:val="left"/>
        <w:rPr>
          <w:rFonts w:ascii="Times New Roman" w:hAnsi="Times New Roman"/>
          <w:sz w:val="20"/>
        </w:rPr>
      </w:pPr>
      <w:r>
        <w:rPr>
          <w:rFonts w:ascii="Times New Roman" w:hAnsi="Times New Roman"/>
          <w:b/>
          <w:i/>
          <w:color w:val="000000"/>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exclusion of eligibility from government contracts or refusals of government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and maintain approval for our drug candidates from the FDA, we may never obtain approval outside the United States, which would limit our market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For example, we have or are currently conducting initial clinical trials for pevifoscorvir sodium, ALG-055009 and ALG-097558 in many countries (e.g., United States, Canada, and throughout Asia and Europe), and plan to expand into additional countries and territories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associated with international trade policies (including with respect to tariffs) or our international operations, including seeking and obtaining approval to commercialize our drug candidates in foreign jurisdictions,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engage in international operations with offices in the United States, Belgium and China as well as third-party suppliers spanning multiple countries outside the United States, and we intend to seek approval to market our drug candidates within and outside of the United States. We may also do so for future drug candidates. Due to the complex relationship among the United States and the countries in which we conduct our business, there is an inherent risk that political, diplomatic, and national security factors may lead to global trade restrictions and changes to trade policies or export and import regulations which could harm our business. The United States government has implemented tariffs affecting a wide range of products and jurisdictions and has indicated an intention to continue developing new trade policies, which may include tariffs on imported pharmaceutical products. In response, certain foreign governments have announced or implemented reciprocal or retaliatory tariffs and other protectionist measures. Additionally, some major pharmaceutical companies have entered into drug pricing agreements with the Trump administration in exchange for tariff exemptions. Despite recent court rulings against the legality of certain of the Trump administration’s tariffs, the uncertainty in tariff policy and legality can cause financial turmoil and harm. The United States government’s tariff policy has undergone rapid shifts, creating uncertainly that may harm our business by, among other things, leading to higher import prices and negatively impacting market conditions. Most recently,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located outside of the United States for the manufacture of certain drug candidates for clinical testing, as well as for manufacture of products that we may commercialize,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we are or will be subject to additional risks related to these international business markets and relationships,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drug candidates in foreign countries, including challenging processes for marketing biopharmaceutical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and enforcement of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heightened or different data privacy and information security laws, regulations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proposed tariffs, implementation of new tariffs, reciprocal or retaliatory trade measures, sanctions,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global trade policies as a result of trade disputes or more restrictive trade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resulting from the impact of public health pandemics or epidemics (including, for example, the COVID-19 pandemic).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complex regulatory, tax, labor and other legal requirements imposed by many of the individual countries in which we may operate, with which we will need to comply. </w:t>
      </w:r>
    </w:p>
    <w:p>
      <w:pPr>
        <w:pStyle w:val="TextBody"/>
        <w:bidi w:val="0"/>
        <w:spacing w:before="24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layoffs, government shutdowns, or global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government shutdowns, statutory, regulatory, and policy changes, layoffs at the FDA and other government agencies,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on October 1, 2025, the U.S. government initiated a shutdown that lasted 43 days, and certain regulatory agencies, such as the FDA, had to furlough employees and stop certain activities. Such shutdowns have also occurred several times in the past, with the longest prior shutdown beginning December 22, 2018 and lasting 35 days. There is no assurance that a similar shutdown will not occur in the future, causing delays at the FDA and other key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believe or any approval we obtain is based on a narrower definition of the patient population,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chronic HBV infection, COVID-19 or other viral diseases as a result of their genetic makeup. In addition, the route of administration for our potential therapies could be inconvenient and/or not commercially viable, which could also limit the potential market for our therapies.</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estimate, it could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due to the disease being largely asymptomatic.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number of people who have chronic HBV infection, as well as the subset of people with the disease who have the potential to benefit from treatment with our drug candidates, may be reduced due to factors including the genotype or variant of HBV, availability of alternative therapies, political roadblocks to approval and/or treatment in certain countries and the virus’s development of resistance to our potential treatments after long-term and persistent exposure to antiviral therapy. </w:t>
      </w:r>
    </w:p>
    <w:p>
      <w:pPr>
        <w:pStyle w:val="TextBody"/>
        <w:bidi w:val="0"/>
        <w:spacing w:before="240" w:after="283"/>
        <w:jc w:val="left"/>
        <w:rPr>
          <w:rFonts w:ascii="Times New Roman" w:hAnsi="Times New Roman"/>
          <w:sz w:val="20"/>
        </w:rPr>
      </w:pPr>
      <w:r>
        <w:rPr>
          <w:rFonts w:ascii="Times New Roman" w:hAnsi="Times New Roman"/>
          <w:b/>
          <w:i/>
          <w:color w:val="000000"/>
          <w:sz w:val="20"/>
        </w:rPr>
        <w:t>We intend to develop our current drug candidates, and expect to develop other future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one or more therapies, including therapies that we develop and those developed externally. Even if a drug candidate we develop were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Our potential development of a THR-ß agonist for obesity may also rely on combination therapy, for example combinations with incretin receptor agonists. Issues with other products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Current FDA-approved treatments for chronic HBV infection include peg-IFNα, marketed by Roche Holding AG (Roche), and oral antiviral agents such as nucleos(t)ide analogs, marketed by Gilead Sciences, Inc. (Gilead) and Bristol-Myers Squibb Company. These treatments have not been proven to lead to either a functional or a complete cure in the vast majority of patients, and in the case of nucleos(t)ide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Precision BioSciences, Inc. Several companies are developing CAM-Es, including Assembly Biosciences Inc. Several companies, including Janssen, are developing therapeutic vaccines for HBV, and several others have approved HBV vaccines, including Dynavax Technologies, Inc., GSK, Johnson &amp; Johnson, and Merck. Replicor, Inc. is developing nucleic acid polymers (NAPs) for use in patients with chronic HBV infection.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Current FDA approved treatments for obesity include injectable and oral GLP-1 receptor agonists, such as Novo Nordisk’s semaglutide, as well as injectable dual agonists such as Eli Lilly and Company’s tirzepatide. Many companies are developing next-generation incretin receptor agonists, including in oral form, such as Eli Lilly and Company’s orfoglipron. Various other mechanisms are currently under development, including Pfizer’s amylin analog and Novo Nordisk’s CB1 receptor monlunabant.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are currently two FDA-approved treatments for MASH: Madrigal Pharmaceuticals, Inc., THR-ß agonist and Novo Nordisk's GLP-1 receptor agonist semaglutide. A number of pharmaceutical companies, including AbbVie, Inc., AstraZeneca PLC/MedImmune LLC, Bristol</w:t>
        <w:noBreakHyphen/>
        <w:t xml:space="preserve">Myers Squibb Company, Eli Lilly and Company, Merck, Pfizer, Inc., Novo Nordisk, Roche, as well as large and small biotechnology companies such as Gilead and Inventiva Pharma SA, are pursuing the development or marketing of pharmaceuticals that target MASH.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to remdesivir, which is FDA-approved, Pfizer, Inc. has received approval from the FDA for Paxlovid, an orally administered SARS-CoV-2 protease inhibitor co</w:t>
        <w:noBreakHyphen/>
        <w:t xml:space="preserve">administered with ritonavir. Similarly, Merck (together with Ridgeback Bio), is developing the drug molnupiravir, an oral antiviral drug which was issued an emergency use authorization by the FDA on December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23, 2021.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and other early-stage companies may also prove to be significant competitors. In addition, academic research departments and public and private research institutions may be conducting research on compounds that could prove to be competitive.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or overturning of laws that presently restrict or apply tariffs to imports of drugs from countries where they may be sold at lower prices than in the United States. Additionally, the Trump administration recently published regulations that tie Medicare drug pricing to prices for the same drugs in certain reference countries. Such “most favored nation” pricing rules could limit the profitability of our drugs by affecting pricing and/or causing us to avoid commercializing our drugs in certain markets, and could have a significant impact on our commercial and financial success. For more information, see the risk factor titled “— 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viral indications and, most recently, obesity.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pevifoscorvir sodium, ALG</w:t>
        <w:noBreakHyphen/>
        <w:t xml:space="preserve">055009 and ALG-097558. Our estimates regarding the potential market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In April 2026, the FDA granted fast track designation for pevifoscorvir sodium in chronic HBV infection. Despite receiving such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requires pre-approval of promotional materials for accelerated approval products, once approved.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make significant payments under our license agreements, including those with Emory University and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License Agreement with Emory in June 2018, and a Research, Licensing and Commercialization Agreement with KU Leuven in June 2020 and an amendment in July 2023. Under the Emory License Agreement and KU Leuven Agreement, we are subject to significant obligations, including milestone payments, royalty payments, and certain other agreed-to costs. For example, in August 2025, we made a $9.0 million payment to Emory University following the first subject dosed in our Phase 2 study of pevifoscorvir sodium. For more information regarding our license agreements, please see the section titled “Business—License agreements and collaborations” of our Annual Report on Form 10-K for the year ended December 31, 2025, previously filed with the SEC. As these payments become due,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payments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effects to our results of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drug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 arise.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and regulatory initiatives and proposed initiatives to contain healthcare costs that could, among other things, affect our ability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drug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Affordable Care Act (the ACA) was enacted in 2010, which substantially changed the way healthcare is financed by both governmental and private insurers, and significantly impacted the U.S. pharmaceutical industry. Among the provisions of the ACA of importance to our business, are provisions related to our ability to commercialize and the prices we may obtain for any drug candidates that are approved for sale,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The Budget Control Act of 2011, among other things, included aggregate reductions of Medicare payments to providers. These reductions went into effect on April 1, 2013 and, due to subsequent legislative amendments to the statute, will remain in effect through 2032, unless additional Congressional action is taken. The American Taxpayer Relief Act of 2012, enacted in 2013, among other things, further reduced Medicare payments to several types of providers. The American Rescue Plan Act of 2021 eliminated the statutory Medicaid drug rebate cap, beginning January 1, 2024. The rebate was previously capped at 100% of a drug’s average manufacturer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Inflation Reduction Act (the IRA), which was enacted in 2022,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CMS has published the negotiated prices for the initial ten drugs, which went into effect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The impact of the IRA on us and the pharmaceutical industry cannot yet be fully determined, but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drug candidate that we commercialize. On the one hand, President Trump threatened to impose significant tariffs on pharmaceutical manufacturers that do not adopt pricing policies such as most favored nation pricing, which would tie the price for drugs in the United States to the lowest price in a group of other countries. In response, multiple major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favored nation pricing and onshoring of production and research and development.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and continues to be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U.S. states have enacted legislation creating so-called prescription drug affordability boards, and to date one state has used its prescription drug affordability board to impose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or the frequency with which any drug candidate that we commercialize is prescribed or used.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prices we are able to charge for any drug candidate we develop, or could reduce the amounts that federal and state governments will pay for healthcare products and services, which could result in additional pricing pressure or reduced demand for any drug candidate we develop.</w:t>
      </w:r>
    </w:p>
    <w:p>
      <w:pPr>
        <w:pStyle w:val="TextBody"/>
        <w:bidi w:val="0"/>
        <w:spacing w:before="240" w:after="283"/>
        <w:jc w:val="left"/>
        <w:rPr>
          <w:rFonts w:ascii="Times New Roman" w:hAnsi="Times New Roman"/>
          <w:sz w:val="20"/>
        </w:rPr>
      </w:pPr>
      <w:r>
        <w:rPr>
          <w:rFonts w:ascii="Times New Roman" w:hAnsi="Times New Roman"/>
          <w:b/>
          <w:i/>
          <w:color w:val="000000"/>
          <w:sz w:val="20"/>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Europe and elsewhere.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California data protection agency authorized to issue substantive regulations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These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operate in countries outside of the United States, including Belgium and other parts of Europe, Australia and parts of Asia, where laws may in some cases be more stringent than the requirements in the United States.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(EEA) or United Kingdom (UK) in the context of our activities within the EEA or UK.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 £17.5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requirements, the GDPR regulates the transfer of personal data to third countries outside of the EEA or UK, such as the United States, which are not considered by the European Commission or UK government to provide an adequate level of personal data protection, and the efficacy and longevity of current transfer mechanisms between the EEA, and the United States remains uncertain. We currently rely on approved data transfer mechanisms that may include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may suffer in the event that our information technology systems, or those used by our CROs or other contractors or consultants, fail or suffer security breaches.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clinical trial subjects, and contractors. Despite the implementation of security measures, our information technology systems and those of our CROs and other contractors and consultants are vulnerable to attack, damage and interruption through diverse threat vectors, including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availability,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The risk is increased by recent advancements in artificial intelligence, which can be used by bad actors for harmful purposes. As such, any integration of artificial intelligence in our or any third party’s operations, products or services is expected to pose new or unknown cybersecurity risks and challenges.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litigation (such as class actions),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of our systems.</w:t>
      </w:r>
    </w:p>
    <w:p>
      <w:pPr>
        <w:pStyle w:val="TextBody"/>
        <w:bidi w:val="0"/>
        <w:spacing w:before="240" w:after="283"/>
        <w:jc w:val="left"/>
        <w:rPr>
          <w:rFonts w:ascii="Times New Roman" w:hAnsi="Times New Roman"/>
          <w:sz w:val="20"/>
        </w:rPr>
      </w:pPr>
      <w:bookmarkStart w:id="16" w:name="risks_related_to_reliance_on_third_parti"/>
      <w:bookmarkEnd w:id="16"/>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 For example, in April 2026 we entered into a License Agreement with Amoytop granting them rights to manufacture, develop and commercialize pevifoscorvir sodium for certain uses in certain territories.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current and future drug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in some cases, may have the right to terminate the collaboration without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(if any) or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our drug candidates because they may be deemed to be at too early of a stage of development for collaborative efforts and third parties may not view them as having the requisite potential to demonstrate safety and efficacy.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restricted under future collaboration agreements from entering into additional agreements on certain terms with potential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Such collaborators could breach their agreements with us, or claim that we are in breach of our obligations.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pevifoscorvir sodium, ALG</w:t>
        <w:noBreakHyphen/>
        <w:t xml:space="preserve">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nonclinical, clinical or commercial supplies of the drug candidates that we are developing or evaluating in our development programs. We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our ability to terminate such contracts quickly and without excessive expense, if no longer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in the United States and elsewhere will play a primary role in the recommendation and prescription of any drug candidates for which we obtain marketing approval. Our future arrangements with third-party payors and customers, and current arrangements and interactions with healthcare practitioners and institutions,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develop, sell, market and distribute any products for which we seek and/or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clinical investigators (particularly if elements of the applicable clinical protocol are federally reimbursed),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or may assert that alleged pre-approval or off-label promotion of a drug can lead to a false claim;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specialists, certified nurse anesthetists, anesthesiology assistants and certified nurse-midwives)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PhRMA Code on interactions with healthcare practitioners, and state laws that require compliance with the PhRMA Code;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rules, regulations and guidance regarding pre-approval and off-label promotion of pharmaceutical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and interactions with third parties comply with applicable healthcare laws, as well as responding to investigations by government authorities, can be time- and resource-consuming and can divert management’s attention from the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which could lead to delays in product approvals, any of which could harm our ability to operate our business and our financial results. Further, if the physicians or other providers or entities with whom we interact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 </w:t>
      </w:r>
    </w:p>
    <w:p>
      <w:pPr>
        <w:pStyle w:val="TextBody"/>
        <w:bidi w:val="0"/>
        <w:spacing w:before="240" w:after="283"/>
        <w:jc w:val="left"/>
        <w:rPr>
          <w:rFonts w:ascii="Times New Roman" w:hAnsi="Times New Roman"/>
          <w:sz w:val="20"/>
        </w:rPr>
      </w:pPr>
      <w:bookmarkStart w:id="17" w:name="risks_related_to_intellectual_property"/>
      <w:bookmarkEnd w:id="17"/>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party’s patents and patent applications have an earlier priority date, and if such challenges are successful, we may be required to obtain one or more licenses from such third parties, or be prohibited from commercializing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Additionally, the patenting rules and processes vary throughout the world, and may in some countries require a lengthy process of filings and appeals, and may never be successful.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steps we take to protect our sensitive intellectual property, including trade secrets, may be inadequate to prevent such information from being compromised through inadvertent disclosure, theft, or other means. Loss of valuable trade secrets could harm our competitive position,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For example,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 We have entered into an agreement to license certain rights related to pevifoscorvir sodium to Amoytop. If Amoytop does not comply with its obligations under the agreement, including diligence obligations relating to the development and commercialization of the licensed product, we may lose the expected benefit of the agreement, and may elect to terminate.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Additionally, we have licensed to Amoytop rights under certain patents to manufacture, develop and commercialize pevifoscorvir sodium in a China, Taiwan, Hong Kong and Macau. Amoytop has the first right to enforce such patents if suspected infringement is limited to Amoytop’s licensed territory. Our patents and other intellectual property rights could be at risk if Amoytop does not adequately protect and enforce such rights in its licensed territory.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including the obligation to make various milestone payments and royalty payments, under any of the agreements under which we license intellectual property rights from third parties, the licensor may have the right to terminate the license. Further, due to our License Agreement with Amoytop, Amoytop is a sublicensee under certain of the Emory University patent rights. If Amoytop’s actions or inactions cause a breach of the Emory License Agreement, Emory University may have a right to terminate the Emory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2025, previously filed with the SEC.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for certain licensed compounds with respect to all fields except for the treatment and prevention of HBV. For more information regarding our license agreements, see the section titled “Business—License agreements and collaborations” of our Annual Report on Form 10-K for the year ended December 31, 2025, previously filed with the SEC.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certain third-party issued patents and/or pending patent applications, including those of our competitors, that, if issued with their current claim scope, may be construed to cover our drug candidates, including ALG</w:t>
        <w:noBreakHyphen/>
        <w:t xml:space="preserve">055009. In the event that any of these patents were asserted against us, we believe that we would have defenses against any such action, which may include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establish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U.S.,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For example, some companies in our industry have experienced theft or breach of their intellectual property rights, including trade secrets, in China, a country where we have operations and do business, and where our licensee, Amoytop, plans to conduct activities on pevifoscorvir sodium.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if any,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intellectual property rights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directed to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other than at the senior management level.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as a company,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enhancing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many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successfully manage any dispute with an employee or contractor, a resulting settlement or judgment could be expensive, time-consuming and distracting, and could affect our ability to focus on and fund our core activities.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wildfires,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both severe earthquakes and wildfires. We are also conducting clinical trials in many other countries and regions, which may be subject to natural disaster risks.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chain are similarly vulnerable to natural disasters or other sudden, unforeseen and severe adverse events. If such an event were to affect our supply chain, it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and competitors'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nonclinical studies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drug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public health pandemics or epidemics;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shares at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above the price paid for the shares and may otherwise negatively affect the liquidity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 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shares may not be sustained. In the absence of an active trading market for our common stock, investors may not be able to sell their common stock at a price or at the time that they would like to sell.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inactive market may also impair our ability to raise capital by selling shares and may impair our ability to acquire other drug candidates, businesses, or technologies using our shares as consideration.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Accordingly, investors are not likely to receive dividends on our common stock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as a result of the reduced disclosure and governance requirements applicable to smaller reporting companies, our common stock may be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may therefore choose to present only the two most recent fiscal years of audited financial statements in our Annual Report on Form 10-K and are eligible to take advantage of certain of the reduced disclosure obligations regarding compensation disclosures. In addition, as a smaller reporting company with less than $100 million in annual revenue, we are exempt from the requirement to obtain an auditor attestation on the effectiveness of our internal control over financial reporting provided in Section 404(b) of the Sarbanes-Oxley Act of 2002, or the Sarbanes-Oxley Act. These exemptions and reduced disclosures in our SEC filings due to our status as a smaller reporting company may make it harder for investors to analyze our results of operations and financial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our executive officers, directors and their affiliates beneficially own, in the aggregate, approximately 45% of our outstanding common stock (assuming all shares of non-voting common stock are converted into voting common stock in accordance with the terms of our amended and restated certificate of incorporation), and 8%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discouraging a potential acquirer from making a tender offer or otherwise attempting to obtain control of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dual class structure of our common stock may limit the ability to influence corporate matters and may limit the visibility with respect to certain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March 31, 2026,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approximately 3.0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holders of approximately 7.3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February 2025 but determined there was no ownership change at that time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404(a) of the Sarbanes-Oxley Act, our management is required to report on the effectiveness of our internal control over financial reporting in our Annual Report on Form 10-K for each fiscal year. If we become an accelerated or large accelerated filer, we will be subject to the independent auditor attestation requirement under Section 404(b) of the Sarbanes-Oxley Act. The rules governing the standards that must be met for management to assess our internal control over financial reporting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 and require significant documentation, testing and possible remediation.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24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such person if such person acted in good faith and in a manner such person reasonably believed to be in or not opposed to the best interests of the company and, with respect to any criminal proceeding, had no reasonable cause to believe such person’s conduct was unlawful;</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 </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primarily financed our operations through the sale of common stock, preferred stock, convertible notes and warrants, and to a lesser extent from upfront payments under our license/collaboration agreements. We will be required to seek additional funding in the future and may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Attempting to secure additional financing may also divert our management’s attention from our day-to-day activities, which may adversely affect our ability to develop our drug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global or domestic economic or political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The applicability of, and lack of clarity around, trade tariffs imposed by the U.S. government and retaliatory tariffs imposed by other governments may have a significant impact on the financial condition of companies. International conflicts, such as the war in Iran, have an effect on the global economy including fuel and energy availability and pricing, which can harm our business.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situation involving the conflict between Russia and Ukraine and the conflicts in the Middle East, including Iran, remain highly fluid, the ongoing conflicts and any associated sanctions, blockades or resource shortages may have a severe impact on the global economy, or on the economy and stability of the United States. A severe or prolonged economic downturn, such as the 2008 global financial crisis, or a downturn caused by armed conflict, U.S. government shutdowns, political unrest, or other domestic or international events,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political and economic climate and financial market conditions could adversely impact our business. Furthermore, our stock price may decline due in part to the volatility of the stock market and any general economic downturn.</w:t>
      </w:r>
    </w:p>
    <w:p>
      <w:pPr>
        <w:pStyle w:val="TextBody"/>
        <w:bidi w:val="0"/>
        <w:spacing w:before="24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Public health pandemics or epidemics, political instability, terrorist attacks, other acts of violence or war, or other unexpected events could materially and adversely impact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 or administrative proceedings could have a material adverse effect on our business, our financial condition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loss of "emerging growth company" status as of December 31, 2025 has increased and will continue to increase our compliance obligations and associated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insurance, and other expenses, and our management is required to devote substantial time to compliance and corporate governance matters. We are subject to the reporting and other requirements of the Securities Exchange Act of 1934, as amended (the Exchange Act), the Sarbanes</w:t>
        <w:noBreakHyphen/>
        <w:t>Oxley Act of 2002 (the Sarbanes</w:t>
        <w:noBreakHyphen/>
        <w:t>Oxley Act), the Dodd</w:t>
        <w:noBreakHyphen/>
        <w:t>Frank Wall Street Reform and Consumer Protection Act, the rules and regulations of the SEC, and the listing standards of The Nasdaq Stock Market LLC. These requirements impose significant obligations on us, including requirements to file annual, quarterly, and current reports with respect to our business, financial condition, and results of operations; to establish and maintain effective disclosure controls and procedures and internal control over financial reporting; to comply with corporate governance requirements applicable to listed companies; and to comply with executive compensation, related-person transaction, insider trading, and other 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ceased to qualify as an "emerging growth company" (EGC) on December 31, 2025, the last day of the fiscal year following the fifth anniversary of our initial public offering, and we are no longer eligible for the reduced reporting and other accommodations available to EGCs under the Jumpstart Our Business Startups Act of 2012 (the JOBS Act). As a result, beginning with our Annual Report on Form 10</w:t>
        <w:noBreakHyphen/>
        <w:t>K for the year ending December 31, 2026 and our other periodic and current reports filed in 2026 and thereafter, we are required to comply with reporting, disclosure, and other obligations from which we were previously exempt or for which we were entitled to phased-in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cease to qualify as a "smaller reporting company" under SEC rules or our public float or revenues exceed applicable thresholds such that we become an "accelerated filer" or "large accelerated filer," we will become subject to further incremental obligations, including the requirement to provide an attestation report from our independent registered public accounting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firm on the effectiveness of our internal control over financial reporting under Section 404(b) of the Sarbanes</w:t>
        <w:noBreakHyphen/>
        <w:t>Oxley Act, accelerated periodic report filing deadlines, and additional disclosure requirements. Compliance with these requirements would substantially increase our legal, accounting, and other compliance costs and would require additional management attention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compliance costs will continue to increase as a result of our loss of EGC status, evolving SEC and Nasdaq rules and interpretations, stockholder activism, and the current regulatory and political environment. We also expect that the rules applicable to public companies will continue to make it difficult and expensive to obtain directors' and officers' liability insurance, and we may be required to accept reduced policy limits and coverage or incur substantially higher costs to maintain comparable coverage. Any of the foregoing could divert the attention of our management and other personnel from other business concerns, harm our ability to attract and retain qualified persons to serve on our board of directors, our board committees, or as executive officers, and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experience fluctuations in our tax obligations and effective tax rate, which could materially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For example, the OBBBA was signed into law in July 2025. Regulatory guidance under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holders of our common stock would experience additional dilution, such dilutive impact may be difficult to compute, and our stock price may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r>
        <w:rPr>
          <w:rFonts w:ascii="Times New Roman" w:hAnsi="Times New Roman"/>
          <w:b/>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4_mine_safety_disclosures"/>
      <w:bookmarkEnd w:id="2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March 31, 2026, none of our directors or officers (as defined in Rule 16a-1(f) under the Securities Exchange Act of 1934, as amended) adopted, modified or terminated a “Rule 10b5-1(c) trading arrangement” or a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exhibits"/>
      <w:bookmarkEnd w:id="22"/>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388"/>
        <w:gridCol w:w="146"/>
        <w:gridCol w:w="411"/>
        <w:gridCol w:w="146"/>
        <w:gridCol w:w="669"/>
        <w:gridCol w:w="146"/>
        <w:gridCol w:w="451"/>
        <w:gridCol w:w="146"/>
        <w:gridCol w:w="781"/>
        <w:gridCol w:w="691"/>
        <w:gridCol w:w="146"/>
        <w:gridCol w:w="193"/>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45"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88"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23"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Provided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4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8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9">
              <w:r>
                <w:rPr>
                  <w:rStyle w:val="InternetLink"/>
                  <w:rFonts w:ascii="Times New Roman" w:hAnsi="Times New Roman"/>
                  <w:color w:val="0000FF"/>
                  <w:sz w:val="20"/>
                  <w:u w:val="single"/>
                </w:rPr>
                <w:t>3.1</w:t>
              </w:r>
            </w:hyperlink>
            <w:r>
              <w:rPr>
                <w:rFonts w:ascii="Times New Roman" w:hAnsi="Times New Roman"/>
                <w:color w:val="000000"/>
                <w:sz w:val="20"/>
              </w:rPr>
              <w:t xml:space="preserve">(a), </w:t>
            </w:r>
            <w:hyperlink r:id="rId10">
              <w:r>
                <w:rPr>
                  <w:rStyle w:val="InternetLink"/>
                  <w:rFonts w:ascii="Times New Roman" w:hAnsi="Times New Roman"/>
                  <w:color w:val="0000FF"/>
                  <w:sz w:val="20"/>
                  <w:u w:val="single"/>
                </w:rPr>
                <w:t>3.1(b)</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3.1(c)</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3.1(d)</w:t>
              </w:r>
            </w:hyperlink>
            <w:r>
              <w:rPr>
                <w:rFonts w:ascii="Times New Roman" w:hAnsi="Times New Roman"/>
                <w:color w:val="000000"/>
                <w:sz w:val="20"/>
              </w:rPr>
              <w:t xml:space="preserve"> and </w:t>
            </w:r>
            <w:hyperlink r:id="rId13">
              <w:r>
                <w:rPr>
                  <w:rStyle w:val="InternetLink"/>
                  <w:rFonts w:ascii="Times New Roman" w:hAnsi="Times New Roman"/>
                  <w:color w:val="0000FF"/>
                  <w:sz w:val="20"/>
                  <w:u w:val="single"/>
                </w:rPr>
                <w:t>3.2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2023 Common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2023 Pre-Funded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2025 Common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2025 Pre-Funded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w:anchor="algs-ex10_1.htm">
              <w:r>
                <w:rPr>
                  <w:rStyle w:val="InternetLink"/>
                  <w:rFonts w:ascii="Times New Roman" w:hAnsi="Times New Roman"/>
                  <w:color w:val="0000FF"/>
                  <w:sz w:val="20"/>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w:anchor="alg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w:anchor="alg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w:anchor="alg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hyperlink w:anchor="alg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March 31, 2026 has been formatted in Inline XBRL.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signatures"/>
      <w:bookmarkEnd w:id="2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6884" w:type="dxa"/>
        <w:jc w:val="left"/>
        <w:tblInd w:w="0" w:type="dxa"/>
        <w:tblLayout w:type="fixed"/>
        <w:tblCellMar>
          <w:top w:w="28" w:type="dxa"/>
          <w:left w:w="28" w:type="dxa"/>
          <w:bottom w:w="28" w:type="dxa"/>
          <w:right w:w="28" w:type="dxa"/>
        </w:tblCellMar>
      </w:tblPr>
      <w:tblGrid>
        <w:gridCol w:w="1636"/>
        <w:gridCol w:w="326"/>
        <w:gridCol w:w="406"/>
        <w:gridCol w:w="4516"/>
      </w:tblGrid>
      <w:tr>
        <w:trPr/>
        <w:tc>
          <w:tcPr>
            <w:tcW w:w="16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92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ALIGOS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Lawrence Blatt,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Lesley Ann Calhoun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Operating Officer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4" w:name="algs-ex10_1.htm"/>
      <w:bookmarkStart w:id="25" w:name="ksalgsex10_1"/>
      <w:bookmarkEnd w:id="24"/>
      <w:bookmarkEnd w:id="25"/>
      <w:r>
        <w:rPr>
          <w:rFonts w:ascii="Times New Roman" w:hAnsi="Times New Roman"/>
          <w:color w:val="000000"/>
          <w:sz w:val="20"/>
        </w:rPr>
        <w:t>Exhibit 10.1</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ALIGOS THERAPEUTICS, INC.</w:t>
        <w:br/>
        <w:t>NON-EMPLOYEE DIRECTOR COMPENSATION PROGRAM</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(As Amended Effective: April 22, 2026)</w:t>
      </w:r>
    </w:p>
    <w:p>
      <w:pPr>
        <w:pStyle w:val="TextBody"/>
        <w:bidi w:val="0"/>
        <w:spacing w:before="0" w:after="240"/>
        <w:jc w:val="both"/>
        <w:rPr>
          <w:rFonts w:ascii="Times New Roman" w:hAnsi="Times New Roman"/>
          <w:sz w:val="20"/>
        </w:rPr>
      </w:pPr>
      <w:r>
        <w:rPr>
          <w:rFonts w:ascii="Times New Roman" w:hAnsi="Times New Roman"/>
          <w:color w:val="000000"/>
          <w:sz w:val="24"/>
        </w:rPr>
        <w:t>This Aligos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Non-Employee Director Compensation Program (this “</w:t>
      </w:r>
      <w:r>
        <w:rPr>
          <w:rFonts w:ascii="Times New Roman" w:hAnsi="Times New Roman"/>
          <w:b/>
          <w:i/>
          <w:color w:val="000000"/>
          <w:sz w:val="24"/>
        </w:rPr>
        <w:t>Program</w:t>
      </w:r>
      <w:r>
        <w:rPr>
          <w:rFonts w:ascii="Times New Roman" w:hAnsi="Times New Roman"/>
          <w:color w:val="000000"/>
          <w:sz w:val="20"/>
        </w:rPr>
        <w:t>”</w:t>
      </w:r>
      <w:r>
        <w:rPr>
          <w:rFonts w:ascii="Times New Roman" w:hAnsi="Times New Roman"/>
          <w:color w:val="000000"/>
          <w:sz w:val="24"/>
        </w:rPr>
        <w:t>) has been originally adopted under the Company’s 2020 Incentive Award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has been amended as of April 22, 2026 (the “</w:t>
      </w:r>
      <w:r>
        <w:rPr>
          <w:rFonts w:ascii="Times New Roman" w:hAnsi="Times New Roman"/>
          <w:b/>
          <w:i/>
          <w:color w:val="000000"/>
          <w:sz w:val="24"/>
        </w:rPr>
        <w:t>Effective Date</w:t>
      </w:r>
      <w:r>
        <w:rPr>
          <w:rFonts w:ascii="Times New Roman" w:hAnsi="Times New Roman"/>
          <w:color w:val="000000"/>
          <w:sz w:val="24"/>
        </w:rPr>
        <w:t>). Capitalized terms not otherwise defined herein shall have the meaning ascribed in the Plan.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Cash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the Effective Date, annual retainers will be paid in the following amounts to Non-Employee Directors:</w:t>
      </w:r>
    </w:p>
    <w:tbl>
      <w:tblPr>
        <w:tblW w:w="7982" w:type="dxa"/>
        <w:jc w:val="left"/>
        <w:tblInd w:w="0" w:type="dxa"/>
        <w:tblLayout w:type="fixed"/>
        <w:tblCellMar>
          <w:top w:w="28" w:type="dxa"/>
          <w:left w:w="28" w:type="dxa"/>
          <w:bottom w:w="28" w:type="dxa"/>
          <w:right w:w="28" w:type="dxa"/>
        </w:tblCellMar>
      </w:tblPr>
      <w:tblGrid>
        <w:gridCol w:w="7051"/>
        <w:gridCol w:w="931"/>
      </w:tblGrid>
      <w:tr>
        <w:trPr/>
        <w:tc>
          <w:tcPr>
            <w:tcW w:w="7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05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w:t>
            </w:r>
          </w:p>
        </w:tc>
        <w:tc>
          <w:tcPr>
            <w:tcW w:w="931"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Non-Executive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Lead Independent Director: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Business Development and Strategy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Business Development and Strategy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$7,500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$7,500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40"/>
        <w:jc w:val="both"/>
        <w:rPr>
          <w:rFonts w:ascii="Times New Roman" w:hAnsi="Times New Roman"/>
          <w:color w:val="000000"/>
          <w:sz w:val="24"/>
        </w:rPr>
      </w:pPr>
      <w:r>
        <w:rPr>
          <w:rFonts w:ascii="Times New Roman" w:hAnsi="Times New Roman"/>
          <w:color w:val="000000"/>
          <w:sz w:val="24"/>
        </w:rPr>
        <w:t>All annual retainers will be paid in cash quarterly in arrears promptly following the end of the applicable calendar quarter, but in no event more than 30 days after the end of such quarter; provided that the initial quarterly retainer payment for members of the Business Development and Strategy Committee shall be combined with the payment made during the second quarter of 2026.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Equity Compensation</w:t>
      </w:r>
    </w:p>
    <w:tbl>
      <w:tblPr>
        <w:tblW w:w="10205" w:type="dxa"/>
        <w:jc w:val="left"/>
        <w:tblInd w:w="0" w:type="dxa"/>
        <w:tblLayout w:type="fixed"/>
        <w:tblCellMar>
          <w:top w:w="28" w:type="dxa"/>
          <w:left w:w="28" w:type="dxa"/>
          <w:bottom w:w="28" w:type="dxa"/>
          <w:right w:w="28" w:type="dxa"/>
        </w:tblCellMar>
      </w:tblPr>
      <w:tblGrid>
        <w:gridCol w:w="1265"/>
        <w:gridCol w:w="8940"/>
      </w:tblGrid>
      <w:tr>
        <w:trPr/>
        <w:tc>
          <w:tcPr>
            <w:tcW w:w="1265"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Initial Stock Option Grant:</w:t>
            </w:r>
          </w:p>
        </w:tc>
        <w:tc>
          <w:tcPr>
            <w:tcW w:w="894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Each Non-Employee Director who is initially elected or appointed to serve on the Board after the Effective Date shall be granted an Option under the Plan or any other applicable Company equity incentive plan then-maintained by the Company to purchase 11,720 shares of Common Stock (the “</w:t>
            </w:r>
            <w:r>
              <w:rPr>
                <w:rFonts w:ascii="Times New Roman" w:hAnsi="Times New Roman"/>
                <w:b/>
                <w:i/>
                <w:color w:val="000000"/>
                <w:sz w:val="24"/>
              </w:rPr>
              <w:t>Initial Option</w:t>
            </w:r>
            <w:r>
              <w:rPr>
                <w:rFonts w:ascii="Times New Roman" w:hAnsi="Times New Roman"/>
                <w:color w:val="000000"/>
                <w:sz w:val="24"/>
              </w:rPr>
              <w:t>”).</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The Initial Option will be automatically granted on the date on which such Non-Employee Director commences service on the Board, and will vest as to 1/36th of the shares subject thereto on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sz w:val="4"/>
                <w:szCs w:val="4"/>
              </w:rPr>
            </w:pPr>
            <w:r>
              <w:rPr>
                <w:sz w:val="4"/>
                <w:szCs w:val="4"/>
              </w:rPr>
            </w:r>
          </w:p>
        </w:tc>
        <w:tc>
          <w:tcPr>
            <w:tcW w:w="9040" w:type="dxa"/>
            <w:tcBorders/>
            <w:vAlign w:val="center"/>
          </w:tcPr>
          <w:p>
            <w:pPr>
              <w:pStyle w:val="TableContents"/>
              <w:bidi w:val="0"/>
              <w:spacing w:before="0" w:after="283"/>
              <w:jc w:val="left"/>
              <w:rPr>
                <w:sz w:val="4"/>
                <w:szCs w:val="4"/>
              </w:rPr>
            </w:pPr>
            <w:r>
              <w:rPr>
                <w:sz w:val="4"/>
                <w:szCs w:val="4"/>
              </w:rPr>
            </w:r>
          </w:p>
        </w:tc>
      </w:tr>
      <w:tr>
        <w:trPr/>
        <w:tc>
          <w:tcPr>
            <w:tcW w:w="1165" w:type="dxa"/>
            <w:tcBorders/>
            <w:tcMar>
              <w:top w:w="0" w:type="dxa"/>
              <w:left w:w="0" w:type="dxa"/>
              <w:bottom w:w="0" w:type="dxa"/>
              <w:right w:w="0" w:type="dxa"/>
            </w:tcMar>
            <w:vAlign w:val="center"/>
          </w:tcPr>
          <w:p>
            <w:pPr>
              <w:pStyle w:val="TableContents"/>
              <w:bidi w:val="0"/>
              <w:spacing w:before="0" w:after="283"/>
              <w:jc w:val="left"/>
              <w:rPr/>
            </w:pPr>
            <w:r>
              <w:rPr/>
              <w:t> </w:t>
            </w:r>
          </w:p>
        </w:tc>
        <w:tc>
          <w:tcPr>
            <w:tcW w:w="904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each monthly anniversary of the applicable date of grant such that the shares subject to the Initial Option are fully vested on the third anniversary of the grant, in each case, subject to the Non-Employee Director continuing to provide services to the Company through the applicable vesting date.</w:t>
            </w:r>
          </w:p>
        </w:tc>
      </w:tr>
      <w:tr>
        <w:trPr/>
        <w:tc>
          <w:tcPr>
            <w:tcW w:w="11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Annual Stock Option Grant:</w:t>
            </w:r>
          </w:p>
        </w:tc>
        <w:tc>
          <w:tcPr>
            <w:tcW w:w="904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Each Non-Employee Director who (i) has been serving on the Board for at least four months as of each meeting of the Company’s stockholders (each, an “</w:t>
            </w:r>
            <w:r>
              <w:rPr>
                <w:rFonts w:ascii="Times New Roman" w:hAnsi="Times New Roman"/>
                <w:b/>
                <w:i/>
                <w:color w:val="000000"/>
                <w:sz w:val="24"/>
              </w:rPr>
              <w:t>Annual Meeting</w:t>
            </w:r>
            <w:r>
              <w:rPr>
                <w:rFonts w:ascii="Times New Roman" w:hAnsi="Times New Roman"/>
                <w:color w:val="000000"/>
                <w:sz w:val="24"/>
              </w:rPr>
              <w:t>”) and (ii) will continue to serve as a Non-Employee Director immediately following such meeting, shall be granted an Option under the Plan or any other applicable Company equity incentive plan then-maintained by the Company to purchase 5,860 shares of Common Stock (the “</w:t>
            </w:r>
            <w:r>
              <w:rPr>
                <w:rFonts w:ascii="Times New Roman" w:hAnsi="Times New Roman"/>
                <w:b/>
                <w:i/>
                <w:color w:val="000000"/>
                <w:sz w:val="24"/>
              </w:rPr>
              <w:t>Annual Option</w:t>
            </w:r>
            <w:r>
              <w:rPr>
                <w:rFonts w:ascii="Times New Roman" w:hAnsi="Times New Roman"/>
                <w:color w:val="000000"/>
                <w:sz w:val="24"/>
              </w:rPr>
              <w: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to provide services to the Company through such vesting date.</w:t>
            </w:r>
          </w:p>
        </w:tc>
      </w:tr>
    </w:tbl>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per share exercise price of each Option granted to a Non-Employee Director shall equal the Fair Market Value of a share of Common Stock on the date the Option is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each Option granted to a Non-Employee Director shall be ten years from the date the Option is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determined by the Board, no portion of an Initial Option or Annual Option which is unvested or unexercisable at the time of a Non-Employee Director’s termination of service on the Board shall become vested and exercisable thereafter.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Reimbursements</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10.1</w:t>
      </w:r>
    </w:p>
    <w:p>
      <w:pPr>
        <w:pStyle w:val="TextBody"/>
        <w:bidi w:val="0"/>
        <w:jc w:val="both"/>
        <w:rPr>
          <w:rFonts w:ascii="Times New Roman" w:hAnsi="Times New Roman"/>
          <w:b/>
          <w:i/>
          <w:color w:val="000000"/>
          <w:sz w:val="24"/>
        </w:rPr>
      </w:pPr>
      <w:r>
        <w:rPr>
          <w:rFonts w:ascii="Times New Roman" w:hAnsi="Times New Roman"/>
          <w:b/>
          <w:i/>
          <w:color w:val="000000"/>
          <w:sz w:val="24"/>
        </w:rPr>
        <w:t>Miscellaneous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(including Section 5.5 of the Plan limiting the sum of the grant date fair value of all equity-based Awards and the maximum amount that may become payable pursuant to all cash-based Awards that may be granted to a Service Provider (as defined in the Plan) as compensation for services as a Non-Employee Director during any calendar year to $1,500,000). The grant of any Option under this Program shall be made solely by and subject to the terms set forth in a written agreement in a form to be approved by the Board and duly executed by an executive officer of the Company.</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lgs-ex31_1.htm"/>
      <w:bookmarkStart w:id="27" w:name="ksalgs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Lawrence Blatt,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1636"/>
        <w:gridCol w:w="109"/>
        <w:gridCol w:w="406"/>
        <w:gridCol w:w="433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lgs-ex31_2.htm"/>
      <w:bookmarkStart w:id="29" w:name="ksalgsex31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Lesley Ann Calhoun,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8917" w:type="dxa"/>
        <w:jc w:val="left"/>
        <w:tblInd w:w="0" w:type="dxa"/>
        <w:tblLayout w:type="fixed"/>
        <w:tblCellMar>
          <w:top w:w="28" w:type="dxa"/>
          <w:left w:w="28" w:type="dxa"/>
          <w:bottom w:w="28" w:type="dxa"/>
          <w:right w:w="28" w:type="dxa"/>
        </w:tblCellMar>
      </w:tblPr>
      <w:tblGrid>
        <w:gridCol w:w="1636"/>
        <w:gridCol w:w="109"/>
        <w:gridCol w:w="406"/>
        <w:gridCol w:w="67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Executive Vice President, Chief Operational Officer &amp; 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lgs-ex32_1.htm"/>
      <w:bookmarkStart w:id="31" w:name="ksalgsex32_1"/>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March 31, 2026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1636"/>
        <w:gridCol w:w="109"/>
        <w:gridCol w:w="406"/>
        <w:gridCol w:w="433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lgs-ex32_2.htm"/>
      <w:bookmarkStart w:id="33" w:name="ksalgsex32_2"/>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March 31, 2026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1636"/>
        <w:gridCol w:w="109"/>
        <w:gridCol w:w="406"/>
        <w:gridCol w:w="66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Executive Vice President, Chief Operating Officer &amp; 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4172218/d129014dex31.htm" TargetMode="External"/><Relationship Id="rId5" Type="http://schemas.openxmlformats.org/officeDocument/2006/relationships/hyperlink" Target="https://www.sec.gov/Archives/edgar/data/1799448/000119312524202813/d882619dex31.htm" TargetMode="External"/><Relationship Id="rId6" Type="http://schemas.openxmlformats.org/officeDocument/2006/relationships/hyperlink" Target="https://www.sec.gov/Archives/edgar/data/1799448/000119312525148905/d98914dex31.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72852/d46540dex32.htm" TargetMode="External"/><Relationship Id="rId9" Type="http://schemas.openxmlformats.org/officeDocument/2006/relationships/hyperlink" Target="https://www.sec.gov/Archives/edgar/data/1799448/000119312520272852/d46540dex31.htm" TargetMode="External"/><Relationship Id="rId10" Type="http://schemas.openxmlformats.org/officeDocument/2006/relationships/hyperlink" Target="https://www.sec.gov/Archives/edgar/data/1799448/000119312524172218/d129014dex31.htm" TargetMode="External"/><Relationship Id="rId11" Type="http://schemas.openxmlformats.org/officeDocument/2006/relationships/hyperlink" Target="https://www.sec.gov/Archives/edgar/data/1799448/000119312524202813/d882619dex31.htm" TargetMode="External"/><Relationship Id="rId12" Type="http://schemas.openxmlformats.org/officeDocument/2006/relationships/hyperlink" Target="https://www.sec.gov/Archives/edgar/data/1799448/000119312525148905/d98914dex31.htm" TargetMode="External"/><Relationship Id="rId13" Type="http://schemas.openxmlformats.org/officeDocument/2006/relationships/hyperlink" Target="https://www.sec.gov/Archives/edgar/data/1799448/000119312520272852/d46540dex32.htm" TargetMode="External"/><Relationship Id="rId14" Type="http://schemas.openxmlformats.org/officeDocument/2006/relationships/hyperlink" Target="https://www.sec.gov/Archives/edgar/data/1799448/000095017024122371/algs-ex4_2.htm" TargetMode="External"/><Relationship Id="rId15" Type="http://schemas.openxmlformats.org/officeDocument/2006/relationships/hyperlink" Target="https://www.sec.gov/Archives/edgar/data/1799448/000119312523263158/d533607dex42.htm" TargetMode="External"/><Relationship Id="rId16" Type="http://schemas.openxmlformats.org/officeDocument/2006/relationships/hyperlink" Target="https://www.sec.gov/Archives/edgar/data/1799448/000119312523263158/d533607dex41.htm" TargetMode="External"/><Relationship Id="rId17" Type="http://schemas.openxmlformats.org/officeDocument/2006/relationships/hyperlink" Target="https://www.sec.gov/Archives/edgar/data/1799448/000119312525024838/d901857dex42.htm" TargetMode="External"/><Relationship Id="rId18" Type="http://schemas.openxmlformats.org/officeDocument/2006/relationships/hyperlink" Target="https://www.sec.gov/Archives/edgar/data/1799448/000119312525024838/d901857dex4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66891</Words>
  <Characters>373466</Characters>
  <CharactersWithSpaces>440874</CharactersWithSpaces>
  <Paragraphs>4918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